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5" w:type="dxa"/>
        <w:jc w:val="center"/>
        <w:tblLayout w:type="fixed"/>
        <w:tblLook w:val="04A0" w:firstRow="1" w:lastRow="0" w:firstColumn="1" w:lastColumn="0" w:noHBand="0" w:noVBand="1"/>
      </w:tblPr>
      <w:tblGrid>
        <w:gridCol w:w="3615"/>
        <w:gridCol w:w="5670"/>
      </w:tblGrid>
      <w:tr w:rsidR="007E7F82" w:rsidRPr="00C75C72" w:rsidTr="00267888">
        <w:trPr>
          <w:trHeight w:val="851"/>
          <w:jc w:val="center"/>
        </w:trPr>
        <w:tc>
          <w:tcPr>
            <w:tcW w:w="3615" w:type="dxa"/>
          </w:tcPr>
          <w:p w:rsidR="007E7F82" w:rsidRPr="00C75C72" w:rsidRDefault="007E7F82" w:rsidP="00267888">
            <w:pPr>
              <w:tabs>
                <w:tab w:val="center" w:pos="2091"/>
                <w:tab w:val="left" w:pos="3360"/>
              </w:tabs>
              <w:jc w:val="center"/>
              <w:rPr>
                <w:sz w:val="16"/>
                <w:szCs w:val="16"/>
              </w:rPr>
            </w:pPr>
            <w:r w:rsidRPr="00C75C72">
              <w:rPr>
                <w:b/>
              </w:rPr>
              <w:t>BỘ CÔNG THƯƠNG</w:t>
            </w:r>
            <w:r w:rsidRPr="00C75C72">
              <w:t xml:space="preserve"> </w:t>
            </w:r>
            <w:r w:rsidRPr="00C75C72">
              <w:rPr>
                <w:sz w:val="16"/>
                <w:szCs w:val="16"/>
              </w:rPr>
              <w:t>____________</w:t>
            </w:r>
          </w:p>
          <w:p w:rsidR="007E7F82" w:rsidRPr="00C75C72" w:rsidRDefault="007E7F82" w:rsidP="00267888">
            <w:pPr>
              <w:tabs>
                <w:tab w:val="center" w:pos="2091"/>
                <w:tab w:val="left" w:pos="3360"/>
              </w:tabs>
              <w:spacing w:before="120"/>
              <w:jc w:val="center"/>
            </w:pPr>
          </w:p>
        </w:tc>
        <w:tc>
          <w:tcPr>
            <w:tcW w:w="5670" w:type="dxa"/>
          </w:tcPr>
          <w:p w:rsidR="007E7F82" w:rsidRPr="00C75C72" w:rsidRDefault="007E7F82" w:rsidP="00267888">
            <w:pPr>
              <w:jc w:val="center"/>
              <w:rPr>
                <w:b/>
                <w:sz w:val="26"/>
              </w:rPr>
            </w:pPr>
            <w:r w:rsidRPr="00C75C72">
              <w:rPr>
                <w:b/>
                <w:sz w:val="26"/>
              </w:rPr>
              <w:t xml:space="preserve">CỘNG HOÀ XÃ HỘI CHỦ NGHĨA VIỆT </w:t>
            </w:r>
            <w:smartTag w:uri="urn:schemas-microsoft-com:office:smarttags" w:element="country-region">
              <w:smartTag w:uri="urn:schemas-microsoft-com:office:smarttags" w:element="place">
                <w:r w:rsidRPr="00C75C72">
                  <w:rPr>
                    <w:b/>
                    <w:sz w:val="26"/>
                  </w:rPr>
                  <w:t>NAM</w:t>
                </w:r>
              </w:smartTag>
            </w:smartTag>
          </w:p>
          <w:p w:rsidR="007E7F82" w:rsidRPr="00C75C72" w:rsidRDefault="007E7F82" w:rsidP="00267888">
            <w:pPr>
              <w:ind w:left="-138"/>
              <w:jc w:val="center"/>
              <w:rPr>
                <w:b/>
              </w:rPr>
            </w:pPr>
            <w:r w:rsidRPr="00C75C72">
              <w:rPr>
                <w:b/>
              </w:rPr>
              <w:t>Độc lập - Tự do - Hạnh phúc</w:t>
            </w:r>
          </w:p>
          <w:p w:rsidR="007E7F82" w:rsidRPr="00C75C72" w:rsidRDefault="007E7F82" w:rsidP="00267888">
            <w:pPr>
              <w:ind w:left="-138"/>
              <w:jc w:val="center"/>
              <w:rPr>
                <w:b/>
                <w:sz w:val="16"/>
                <w:szCs w:val="16"/>
              </w:rPr>
            </w:pPr>
            <w:r w:rsidRPr="00C75C72">
              <w:rPr>
                <w:b/>
                <w:sz w:val="16"/>
                <w:szCs w:val="16"/>
              </w:rPr>
              <w:t>______________________________________</w:t>
            </w:r>
          </w:p>
        </w:tc>
      </w:tr>
      <w:tr w:rsidR="007E7F82" w:rsidRPr="00C75C72" w:rsidTr="00F86359">
        <w:trPr>
          <w:trHeight w:val="466"/>
          <w:jc w:val="center"/>
        </w:trPr>
        <w:tc>
          <w:tcPr>
            <w:tcW w:w="3615" w:type="dxa"/>
          </w:tcPr>
          <w:p w:rsidR="007E7F82" w:rsidRPr="007E7F82" w:rsidRDefault="007E7F82" w:rsidP="0059238D">
            <w:pPr>
              <w:tabs>
                <w:tab w:val="center" w:pos="2091"/>
                <w:tab w:val="left" w:pos="3360"/>
              </w:tabs>
              <w:spacing w:before="60" w:after="120"/>
              <w:jc w:val="center"/>
              <w:rPr>
                <w:sz w:val="26"/>
              </w:rPr>
            </w:pPr>
            <w:r>
              <w:rPr>
                <w:sz w:val="26"/>
              </w:rPr>
              <w:t>Số:               /BCT-DKT</w:t>
            </w:r>
          </w:p>
        </w:tc>
        <w:tc>
          <w:tcPr>
            <w:tcW w:w="5670" w:type="dxa"/>
          </w:tcPr>
          <w:p w:rsidR="007E7F82" w:rsidRPr="00C75C72" w:rsidRDefault="007E7F82" w:rsidP="007E7F82">
            <w:pPr>
              <w:spacing w:before="60"/>
              <w:jc w:val="center"/>
              <w:rPr>
                <w:b/>
              </w:rPr>
            </w:pPr>
            <w:r w:rsidRPr="00C75C72">
              <w:rPr>
                <w:i/>
              </w:rPr>
              <w:t xml:space="preserve">Hà Nội, ngày        tháng </w:t>
            </w:r>
            <w:r>
              <w:rPr>
                <w:i/>
              </w:rPr>
              <w:t xml:space="preserve">     </w:t>
            </w:r>
            <w:r w:rsidRPr="00C75C72">
              <w:rPr>
                <w:i/>
              </w:rPr>
              <w:t xml:space="preserve"> năm 2025</w:t>
            </w:r>
          </w:p>
        </w:tc>
      </w:tr>
    </w:tbl>
    <w:p w:rsidR="00F86359" w:rsidRDefault="000D04EE" w:rsidP="00F86359">
      <w:pPr>
        <w:tabs>
          <w:tab w:val="left" w:pos="700"/>
        </w:tabs>
        <w:jc w:val="center"/>
        <w:rPr>
          <w:b/>
          <w:lang w:val="it-IT"/>
        </w:rPr>
      </w:pPr>
      <w:r>
        <w:rPr>
          <w:b/>
          <w:noProof/>
        </w:rPr>
        <mc:AlternateContent>
          <mc:Choice Requires="wps">
            <w:drawing>
              <wp:anchor distT="0" distB="0" distL="114300" distR="114300" simplePos="0" relativeHeight="251658240" behindDoc="0" locked="0" layoutInCell="1" allowOverlap="1" wp14:anchorId="256AA8AD" wp14:editId="07D5CC5E">
                <wp:simplePos x="0" y="0"/>
                <wp:positionH relativeFrom="column">
                  <wp:posOffset>118110</wp:posOffset>
                </wp:positionH>
                <wp:positionV relativeFrom="paragraph">
                  <wp:posOffset>92710</wp:posOffset>
                </wp:positionV>
                <wp:extent cx="1150620" cy="355600"/>
                <wp:effectExtent l="0" t="0" r="12700" b="25400"/>
                <wp:wrapNone/>
                <wp:docPr id="4" name="Text Box 4">
                  <a:extLst xmlns:a="http://schemas.openxmlformats.org/drawingml/2006/main">
                    <a:ext uri="{FF2B5EF4-FFF2-40B4-BE49-F238E27FC236}">
                      <a16:creationId xmlns:a16="http://schemas.microsoft.com/office/drawing/2014/main" id="{00000000-0008-0000-07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355600"/>
                        </a:xfrm>
                        <a:prstGeom prst="rect">
                          <a:avLst/>
                        </a:prstGeom>
                        <a:solidFill>
                          <a:srgbClr val="FFFFFF"/>
                        </a:solidFill>
                        <a:ln w="9525">
                          <a:solidFill>
                            <a:srgbClr val="000000"/>
                          </a:solidFill>
                          <a:miter lim="800000"/>
                          <a:headEnd/>
                          <a:tailEnd/>
                        </a:ln>
                      </wps:spPr>
                      <wps:txbx>
                        <w:txbxContent>
                          <w:p w:rsidR="000D04EE" w:rsidRPr="003A5435" w:rsidRDefault="000D04EE" w:rsidP="000D04EE">
                            <w:pPr>
                              <w:pStyle w:val="NormalWeb"/>
                              <w:spacing w:before="0" w:beforeAutospacing="0" w:after="0" w:afterAutospacing="0"/>
                            </w:pPr>
                            <w:r w:rsidRPr="003A5435">
                              <w:rPr>
                                <w:bCs/>
                                <w:sz w:val="32"/>
                                <w:szCs w:val="32"/>
                              </w:rPr>
                              <w:t>DỰ THẢO</w:t>
                            </w:r>
                          </w:p>
                        </w:txbxContent>
                      </wps:txbx>
                      <wps:bodyPr wrap="non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w14:anchorId="256AA8AD" id="_x0000_t202" coordsize="21600,21600" o:spt="202" path="m,l,21600r21600,l21600,xe">
                <v:stroke joinstyle="miter"/>
                <v:path gradientshapeok="t" o:connecttype="rect"/>
              </v:shapetype>
              <v:shape id="Text Box 4" o:spid="_x0000_s1026" type="#_x0000_t202" style="position:absolute;left:0;text-align:left;margin-left:9.3pt;margin-top:7.3pt;width:90.6pt;height:2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">
                <v:textbox>
                  <w:txbxContent>
                    <w:p w:rsidR="000D04EE" w:rsidRPr="003A5435" w:rsidRDefault="000D04EE" w:rsidP="000D04EE">
                      <w:pPr>
                        <w:pStyle w:val="NormalWeb"/>
                        <w:spacing w:before="0" w:beforeAutospacing="0" w:after="0" w:afterAutospacing="0"/>
                      </w:pPr>
                      <w:r w:rsidRPr="003A5435">
                        <w:rPr>
                          <w:bCs/>
                          <w:sz w:val="32"/>
                          <w:szCs w:val="32"/>
                        </w:rPr>
                        <w:t>DỰ THẢO</w:t>
                      </w:r>
                    </w:p>
                  </w:txbxContent>
                </v:textbox>
              </v:shape>
            </w:pict>
          </mc:Fallback>
        </mc:AlternateContent>
      </w:r>
    </w:p>
    <w:p w:rsidR="007E7F82" w:rsidRDefault="007E7F82" w:rsidP="007E7F82">
      <w:pPr>
        <w:tabs>
          <w:tab w:val="left" w:pos="700"/>
        </w:tabs>
        <w:spacing w:before="120" w:after="120"/>
        <w:jc w:val="center"/>
        <w:rPr>
          <w:b/>
          <w:lang w:val="it-IT"/>
        </w:rPr>
      </w:pPr>
      <w:r>
        <w:rPr>
          <w:b/>
          <w:lang w:val="it-IT"/>
        </w:rPr>
        <w:t>BÁO CÁO</w:t>
      </w:r>
    </w:p>
    <w:p w:rsidR="007E7F82" w:rsidRDefault="007E7F82" w:rsidP="00957ACF">
      <w:pPr>
        <w:spacing w:before="120"/>
        <w:ind w:right="-29"/>
        <w:jc w:val="center"/>
        <w:rPr>
          <w:b/>
          <w:lang w:val="it-IT" w:eastAsia="x-none"/>
        </w:rPr>
      </w:pPr>
      <w:r>
        <w:rPr>
          <w:b/>
          <w:lang w:val="it-IT"/>
        </w:rPr>
        <w:t xml:space="preserve">Tổng kết thi hành </w:t>
      </w:r>
      <w:r w:rsidRPr="002E7749">
        <w:rPr>
          <w:rFonts w:ascii="Times New Roman Bold" w:hAnsi="Times New Roman Bold"/>
          <w:b/>
          <w:spacing w:val="-6"/>
          <w:lang w:val="vi-VN" w:eastAsia="x-none"/>
        </w:rPr>
        <w:t>Quyết định</w:t>
      </w:r>
      <w:r w:rsidRPr="002E7749">
        <w:rPr>
          <w:rFonts w:ascii="Times New Roman Bold" w:hAnsi="Times New Roman Bold"/>
          <w:b/>
          <w:spacing w:val="-6"/>
          <w:lang w:val="it-IT" w:eastAsia="x-none"/>
        </w:rPr>
        <w:t xml:space="preserve"> số 49/2017/QĐ-TTg n</w:t>
      </w:r>
      <w:r w:rsidRPr="002E7749">
        <w:rPr>
          <w:rFonts w:ascii="Times New Roman Bold" w:hAnsi="Times New Roman Bold"/>
          <w:b/>
          <w:spacing w:val="-6"/>
          <w:lang w:val="vi-VN" w:eastAsia="x-none"/>
        </w:rPr>
        <w:t xml:space="preserve">gày </w:t>
      </w:r>
      <w:r w:rsidRPr="002E7749">
        <w:rPr>
          <w:rFonts w:ascii="Times New Roman Bold" w:hAnsi="Times New Roman Bold"/>
          <w:b/>
          <w:spacing w:val="-6"/>
          <w:lang w:val="it-IT" w:eastAsia="x-none"/>
        </w:rPr>
        <w:t xml:space="preserve">21 tháng 12 năm 2017 của Thủ tướng Chính phủ về việc thu dọn các công trình, thiết bị và phương tiện phục vụ hoạt động dầu khí và </w:t>
      </w:r>
      <w:r w:rsidRPr="002E7749">
        <w:rPr>
          <w:rFonts w:ascii="Times New Roman Bold" w:hAnsi="Times New Roman Bold"/>
          <w:b/>
          <w:spacing w:val="-6"/>
          <w:lang w:val="vi-VN" w:eastAsia="x-none"/>
        </w:rPr>
        <w:t>Quyết định</w:t>
      </w:r>
      <w:r w:rsidRPr="002E7749">
        <w:rPr>
          <w:rFonts w:ascii="Times New Roman Bold" w:hAnsi="Times New Roman Bold"/>
          <w:b/>
          <w:spacing w:val="-6"/>
          <w:lang w:val="it-IT" w:eastAsia="x-none"/>
        </w:rPr>
        <w:t xml:space="preserve"> số 84/2010/QĐ-TTg n</w:t>
      </w:r>
      <w:r w:rsidRPr="002E7749">
        <w:rPr>
          <w:rFonts w:ascii="Times New Roman Bold" w:hAnsi="Times New Roman Bold"/>
          <w:b/>
          <w:spacing w:val="-6"/>
          <w:lang w:val="vi-VN" w:eastAsia="x-none"/>
        </w:rPr>
        <w:t xml:space="preserve">gày </w:t>
      </w:r>
      <w:r w:rsidRPr="002E7749">
        <w:rPr>
          <w:rFonts w:ascii="Times New Roman Bold" w:hAnsi="Times New Roman Bold"/>
          <w:b/>
          <w:spacing w:val="-6"/>
          <w:lang w:val="it-IT" w:eastAsia="x-none"/>
        </w:rPr>
        <w:t>15 tháng 12 năm 2010 của Thủ tướng Chính phủ về việc ban hành Quy chế khai thác dầu kh</w:t>
      </w:r>
      <w:r w:rsidRPr="00D31021">
        <w:rPr>
          <w:b/>
          <w:lang w:val="it-IT" w:eastAsia="x-none"/>
        </w:rPr>
        <w:t>í</w:t>
      </w:r>
    </w:p>
    <w:p w:rsidR="00F86359" w:rsidRPr="00F86359" w:rsidRDefault="00F86359" w:rsidP="00957ACF">
      <w:pPr>
        <w:tabs>
          <w:tab w:val="left" w:pos="700"/>
        </w:tabs>
        <w:ind w:right="-29"/>
        <w:jc w:val="center"/>
        <w:rPr>
          <w:b/>
          <w:sz w:val="16"/>
          <w:szCs w:val="16"/>
          <w:lang w:val="it-IT"/>
        </w:rPr>
      </w:pPr>
      <w:r w:rsidRPr="00F86359">
        <w:rPr>
          <w:b/>
          <w:sz w:val="16"/>
          <w:szCs w:val="16"/>
          <w:lang w:val="it-IT" w:eastAsia="x-none"/>
        </w:rPr>
        <w:t>________________</w:t>
      </w:r>
    </w:p>
    <w:p w:rsidR="007E7F82" w:rsidRDefault="007E7F82" w:rsidP="00957ACF">
      <w:pPr>
        <w:spacing w:before="120" w:after="120"/>
        <w:ind w:right="-29" w:firstLine="720"/>
        <w:jc w:val="both"/>
        <w:rPr>
          <w:b/>
          <w:lang w:val="it-IT" w:eastAsia="x-none"/>
        </w:rPr>
      </w:pPr>
      <w:bookmarkStart w:id="0" w:name="_GoBack"/>
      <w:bookmarkEnd w:id="0"/>
    </w:p>
    <w:p w:rsidR="00C87616" w:rsidRPr="000D04EE" w:rsidRDefault="00C87616" w:rsidP="00C87616">
      <w:pPr>
        <w:tabs>
          <w:tab w:val="center" w:pos="1560"/>
          <w:tab w:val="center" w:pos="6237"/>
        </w:tabs>
        <w:spacing w:after="120"/>
        <w:ind w:firstLine="720"/>
        <w:jc w:val="both"/>
        <w:rPr>
          <w:b/>
          <w:lang w:val="it-IT"/>
        </w:rPr>
      </w:pPr>
      <w:r w:rsidRPr="000D04EE">
        <w:rPr>
          <w:b/>
          <w:lang w:val="it-IT"/>
        </w:rPr>
        <w:t>1. Tổng quan về các dự án dầu khí ở Việt Nam</w:t>
      </w:r>
    </w:p>
    <w:p w:rsidR="00C87616" w:rsidRPr="000D04EE" w:rsidRDefault="00C87616" w:rsidP="00C87616">
      <w:pPr>
        <w:tabs>
          <w:tab w:val="center" w:pos="1560"/>
          <w:tab w:val="center" w:pos="6237"/>
        </w:tabs>
        <w:spacing w:after="120"/>
        <w:ind w:firstLine="720"/>
        <w:jc w:val="both"/>
        <w:rPr>
          <w:lang w:val="it-IT"/>
        </w:rPr>
      </w:pPr>
      <w:r w:rsidRPr="000D04EE">
        <w:rPr>
          <w:lang w:val="it-IT"/>
        </w:rPr>
        <w:t>Tính đến thời điểm hiện tại, Việt Nam có trên 50 hợp đồng dầu khí còn hiệu lực, trong đó có có 17 Lô hợp đồng dầu khí đang khai thác, 02 Lô dầu khí khai thác theo cơ chế tận thu. Trong năm 2024, sản lượng khai thác dầu và condensate trong nước đạt 8,075 triệu tấn. Tổng sản lượng khí về bờ năm 2024 là 6,328 tỷ m</w:t>
      </w:r>
      <w:r w:rsidRPr="000D04EE">
        <w:rPr>
          <w:vertAlign w:val="superscript"/>
          <w:lang w:val="it-IT"/>
        </w:rPr>
        <w:t>3</w:t>
      </w:r>
      <w:r w:rsidRPr="000D04EE">
        <w:rPr>
          <w:lang w:val="it-IT"/>
        </w:rPr>
        <w:t>.</w:t>
      </w:r>
    </w:p>
    <w:p w:rsidR="007E7F82" w:rsidRPr="00B57146" w:rsidRDefault="00C87616" w:rsidP="007E7F82">
      <w:pPr>
        <w:spacing w:before="120" w:after="120"/>
        <w:ind w:firstLine="720"/>
        <w:jc w:val="both"/>
        <w:rPr>
          <w:b/>
          <w:lang w:val="it-IT" w:eastAsia="x-none"/>
        </w:rPr>
      </w:pPr>
      <w:r>
        <w:rPr>
          <w:b/>
          <w:lang w:val="it-IT" w:eastAsia="x-none"/>
        </w:rPr>
        <w:t>2</w:t>
      </w:r>
      <w:r w:rsidR="007E7F82" w:rsidRPr="00B57146">
        <w:rPr>
          <w:b/>
          <w:lang w:val="it-IT" w:eastAsia="x-none"/>
        </w:rPr>
        <w:t xml:space="preserve">. </w:t>
      </w:r>
      <w:r>
        <w:rPr>
          <w:b/>
          <w:lang w:val="it-IT" w:eastAsia="x-none"/>
        </w:rPr>
        <w:t xml:space="preserve">Tổng kết thi hành </w:t>
      </w:r>
      <w:r w:rsidR="00F86359" w:rsidRPr="002E7749">
        <w:rPr>
          <w:rFonts w:ascii="Times New Roman Bold" w:hAnsi="Times New Roman Bold"/>
          <w:b/>
          <w:spacing w:val="-6"/>
          <w:lang w:val="vi-VN" w:eastAsia="x-none"/>
        </w:rPr>
        <w:t>Quyết định</w:t>
      </w:r>
      <w:r w:rsidR="00F86359" w:rsidRPr="002E7749">
        <w:rPr>
          <w:rFonts w:ascii="Times New Roman Bold" w:hAnsi="Times New Roman Bold"/>
          <w:b/>
          <w:spacing w:val="-6"/>
          <w:lang w:val="it-IT" w:eastAsia="x-none"/>
        </w:rPr>
        <w:t xml:space="preserve"> số 49/2017/QĐ-TTg n</w:t>
      </w:r>
      <w:r w:rsidR="00F86359" w:rsidRPr="002E7749">
        <w:rPr>
          <w:rFonts w:ascii="Times New Roman Bold" w:hAnsi="Times New Roman Bold"/>
          <w:b/>
          <w:spacing w:val="-6"/>
          <w:lang w:val="vi-VN" w:eastAsia="x-none"/>
        </w:rPr>
        <w:t xml:space="preserve">gày </w:t>
      </w:r>
      <w:r w:rsidR="00F86359" w:rsidRPr="002E7749">
        <w:rPr>
          <w:rFonts w:ascii="Times New Roman Bold" w:hAnsi="Times New Roman Bold"/>
          <w:b/>
          <w:spacing w:val="-6"/>
          <w:lang w:val="it-IT" w:eastAsia="x-none"/>
        </w:rPr>
        <w:t>21 tháng 12 năm 2017 của Thủ tướng Chính phủ về việc thu dọn các công trình, thiết bị và phương tiện phục vụ hoạt động dầu khí</w:t>
      </w:r>
      <w:r w:rsidR="00F86359">
        <w:rPr>
          <w:rFonts w:ascii="Times New Roman Bold" w:hAnsi="Times New Roman Bold"/>
          <w:b/>
          <w:spacing w:val="-6"/>
          <w:lang w:val="it-IT" w:eastAsia="x-none"/>
        </w:rPr>
        <w:t xml:space="preserve"> (</w:t>
      </w:r>
      <w:r w:rsidR="00F86359" w:rsidRPr="002E7749">
        <w:rPr>
          <w:rFonts w:ascii="Times New Roman Bold" w:hAnsi="Times New Roman Bold"/>
          <w:b/>
          <w:spacing w:val="-6"/>
          <w:lang w:val="vi-VN" w:eastAsia="x-none"/>
        </w:rPr>
        <w:t>Quyết định</w:t>
      </w:r>
      <w:r w:rsidR="00F86359" w:rsidRPr="002E7749">
        <w:rPr>
          <w:rFonts w:ascii="Times New Roman Bold" w:hAnsi="Times New Roman Bold"/>
          <w:b/>
          <w:spacing w:val="-6"/>
          <w:lang w:val="it-IT" w:eastAsia="x-none"/>
        </w:rPr>
        <w:t xml:space="preserve"> số 49/2017/QĐ-TTg</w:t>
      </w:r>
      <w:r w:rsidR="00F86359">
        <w:rPr>
          <w:rFonts w:ascii="Times New Roman Bold" w:hAnsi="Times New Roman Bold"/>
          <w:b/>
          <w:spacing w:val="-6"/>
          <w:lang w:val="it-IT" w:eastAsia="x-none"/>
        </w:rPr>
        <w:t>)</w:t>
      </w:r>
    </w:p>
    <w:p w:rsidR="007E7F82" w:rsidRDefault="007E7F82" w:rsidP="007E7F82">
      <w:pPr>
        <w:spacing w:before="120" w:after="120"/>
        <w:ind w:firstLine="720"/>
        <w:jc w:val="both"/>
        <w:rPr>
          <w:lang w:val="it-IT" w:eastAsia="x-none"/>
        </w:rPr>
      </w:pPr>
      <w:r w:rsidRPr="00884346">
        <w:rPr>
          <w:lang w:val="it-IT" w:eastAsia="x-none"/>
        </w:rPr>
        <w:t>N</w:t>
      </w:r>
      <w:r w:rsidRPr="00FC039C">
        <w:rPr>
          <w:lang w:val="vi-VN" w:eastAsia="x-none"/>
        </w:rPr>
        <w:t xml:space="preserve">gày </w:t>
      </w:r>
      <w:r w:rsidRPr="00FC039C">
        <w:rPr>
          <w:lang w:val="it-IT" w:eastAsia="x-none"/>
        </w:rPr>
        <w:t>21 tháng 12 năm 2017</w:t>
      </w:r>
      <w:r>
        <w:rPr>
          <w:lang w:val="it-IT" w:eastAsia="x-none"/>
        </w:rPr>
        <w:t>,</w:t>
      </w:r>
      <w:r w:rsidRPr="00FC039C">
        <w:rPr>
          <w:lang w:val="it-IT" w:eastAsia="x-none"/>
        </w:rPr>
        <w:t xml:space="preserve"> Thủ tướng Chính phủ ban hành</w:t>
      </w:r>
      <w:r w:rsidRPr="00FC039C">
        <w:rPr>
          <w:lang w:val="vi-VN" w:eastAsia="x-none"/>
        </w:rPr>
        <w:t xml:space="preserve"> Quyết định</w:t>
      </w:r>
      <w:r w:rsidRPr="00FC039C">
        <w:rPr>
          <w:lang w:val="it-IT" w:eastAsia="x-none"/>
        </w:rPr>
        <w:t xml:space="preserve"> số 49/2017/QĐ-TTg về việc thu dọn các công trình, thiết bị và phương tiện phục vụ hoạt động dầu khí</w:t>
      </w:r>
      <w:r>
        <w:rPr>
          <w:lang w:val="it-IT" w:eastAsia="x-none"/>
        </w:rPr>
        <w:t xml:space="preserve"> (căn cứ ban hành Quyết định này là </w:t>
      </w:r>
      <w:r w:rsidRPr="00FC039C">
        <w:rPr>
          <w:rFonts w:eastAsia="Arial"/>
          <w:lang w:val="it-IT"/>
        </w:rPr>
        <w:t>Luật Dầu khí năm 1993</w:t>
      </w:r>
      <w:r>
        <w:rPr>
          <w:rFonts w:eastAsia="Arial"/>
          <w:lang w:val="it-IT"/>
        </w:rPr>
        <w:t xml:space="preserve">, </w:t>
      </w:r>
      <w:r w:rsidRPr="00FC039C">
        <w:rPr>
          <w:rFonts w:eastAsia="Arial"/>
          <w:lang w:val="it-IT"/>
        </w:rPr>
        <w:t xml:space="preserve">được sửa đổi, bổ sung </w:t>
      </w:r>
      <w:r>
        <w:rPr>
          <w:rFonts w:eastAsia="Arial"/>
          <w:lang w:val="it-IT"/>
        </w:rPr>
        <w:t>các năm 2000, 2008 và 2018</w:t>
      </w:r>
      <w:r>
        <w:rPr>
          <w:lang w:val="it-IT" w:eastAsia="x-none"/>
        </w:rPr>
        <w:t xml:space="preserve">). Theo đó các nhà thầu dầu khí, các nhà đầu tư </w:t>
      </w:r>
      <w:r>
        <w:rPr>
          <w:lang w:val="it-IT"/>
        </w:rPr>
        <w:t xml:space="preserve">phải được </w:t>
      </w:r>
      <w:r w:rsidRPr="00FC039C">
        <w:rPr>
          <w:lang w:val="it-IT" w:eastAsia="x-none"/>
        </w:rPr>
        <w:t xml:space="preserve">lập </w:t>
      </w:r>
      <w:r>
        <w:rPr>
          <w:lang w:val="it-IT" w:eastAsia="x-none"/>
        </w:rPr>
        <w:t>và trình cấp có thẩm quyền (Bộ Công Thương) phê duyệt K</w:t>
      </w:r>
      <w:r w:rsidRPr="00FC039C">
        <w:rPr>
          <w:lang w:val="it-IT" w:eastAsia="x-none"/>
        </w:rPr>
        <w:t xml:space="preserve">ế hoạch thu dọn </w:t>
      </w:r>
      <w:r>
        <w:rPr>
          <w:lang w:val="it-IT" w:eastAsia="x-none"/>
        </w:rPr>
        <w:t xml:space="preserve">công trình dầu khí </w:t>
      </w:r>
      <w:r w:rsidRPr="00FC039C">
        <w:rPr>
          <w:lang w:val="it-IT" w:eastAsia="x-none"/>
        </w:rPr>
        <w:t xml:space="preserve">phục vụ hoạt động tìm kiếm thăm dò, phát triển mỏ, khai thác dầu khí (thượng nguồn) và hoạt động </w:t>
      </w:r>
      <w:r w:rsidRPr="00FC039C">
        <w:rPr>
          <w:lang w:val="pt-BR"/>
        </w:rPr>
        <w:t>thu gom, vận chuyển, xử lý</w:t>
      </w:r>
      <w:r w:rsidRPr="00FC039C">
        <w:rPr>
          <w:lang w:val="it-IT"/>
        </w:rPr>
        <w:t xml:space="preserve"> khí </w:t>
      </w:r>
      <w:r w:rsidRPr="00FC039C">
        <w:rPr>
          <w:lang w:val="pt-BR"/>
        </w:rPr>
        <w:t>khai thác</w:t>
      </w:r>
      <w:r>
        <w:rPr>
          <w:lang w:val="pt-BR"/>
        </w:rPr>
        <w:t xml:space="preserve"> trong nước</w:t>
      </w:r>
      <w:r w:rsidRPr="00FC039C">
        <w:rPr>
          <w:lang w:val="it-IT"/>
        </w:rPr>
        <w:t xml:space="preserve"> (</w:t>
      </w:r>
      <w:r w:rsidRPr="00FC039C">
        <w:rPr>
          <w:lang w:val="it-IT" w:eastAsia="x-none"/>
        </w:rPr>
        <w:t>trung nguồn)</w:t>
      </w:r>
      <w:r>
        <w:rPr>
          <w:lang w:val="it-IT" w:eastAsia="x-none"/>
        </w:rPr>
        <w:t>; trên cơ sở đó</w:t>
      </w:r>
      <w:r w:rsidRPr="00FC039C">
        <w:rPr>
          <w:lang w:val="it-IT"/>
        </w:rPr>
        <w:t xml:space="preserve"> </w:t>
      </w:r>
      <w:r w:rsidRPr="00FC039C">
        <w:rPr>
          <w:lang w:val="it-IT" w:eastAsia="x-none"/>
        </w:rPr>
        <w:t xml:space="preserve">tiến hành trích </w:t>
      </w:r>
      <w:r>
        <w:rPr>
          <w:lang w:val="it-IT" w:eastAsia="x-none"/>
        </w:rPr>
        <w:t>lập Q</w:t>
      </w:r>
      <w:r w:rsidRPr="00FC039C">
        <w:rPr>
          <w:lang w:val="it-IT" w:eastAsia="x-none"/>
        </w:rPr>
        <w:t xml:space="preserve">uỹ bảo đảm nghĩa vụ </w:t>
      </w:r>
      <w:r>
        <w:rPr>
          <w:lang w:val="it-IT" w:eastAsia="x-none"/>
        </w:rPr>
        <w:t xml:space="preserve">tài chính cho việc </w:t>
      </w:r>
      <w:r w:rsidRPr="00FC039C">
        <w:rPr>
          <w:lang w:val="it-IT" w:eastAsia="x-none"/>
        </w:rPr>
        <w:t>thu dọn các công trình</w:t>
      </w:r>
      <w:r>
        <w:rPr>
          <w:lang w:val="it-IT" w:eastAsia="x-none"/>
        </w:rPr>
        <w:t xml:space="preserve"> dầu khí</w:t>
      </w:r>
      <w:r w:rsidRPr="00FC039C">
        <w:rPr>
          <w:lang w:val="it-IT" w:eastAsia="x-none"/>
        </w:rPr>
        <w:t xml:space="preserve">. </w:t>
      </w:r>
    </w:p>
    <w:p w:rsidR="007E7F82" w:rsidRDefault="007E7F82" w:rsidP="007E7F82">
      <w:pPr>
        <w:spacing w:before="120" w:after="120"/>
        <w:ind w:firstLine="720"/>
        <w:jc w:val="both"/>
        <w:rPr>
          <w:lang w:val="it-IT" w:eastAsia="x-none"/>
        </w:rPr>
      </w:pPr>
      <w:r>
        <w:rPr>
          <w:lang w:val="it-IT" w:eastAsia="x-none"/>
        </w:rPr>
        <w:t xml:space="preserve">Cùng với </w:t>
      </w:r>
      <w:r w:rsidRPr="00FC039C">
        <w:rPr>
          <w:rFonts w:eastAsia="Arial"/>
          <w:lang w:val="it-IT"/>
        </w:rPr>
        <w:t>Luật Dầu khí năm 1993</w:t>
      </w:r>
      <w:r>
        <w:rPr>
          <w:rFonts w:eastAsia="Arial"/>
          <w:lang w:val="it-IT"/>
        </w:rPr>
        <w:t xml:space="preserve">, </w:t>
      </w:r>
      <w:r w:rsidRPr="00FC039C">
        <w:rPr>
          <w:rFonts w:eastAsia="Arial"/>
          <w:lang w:val="it-IT"/>
        </w:rPr>
        <w:t xml:space="preserve">được sửa đổi, bổ sung </w:t>
      </w:r>
      <w:r>
        <w:rPr>
          <w:rFonts w:eastAsia="Arial"/>
          <w:lang w:val="it-IT"/>
        </w:rPr>
        <w:t xml:space="preserve">năm 2000, năm 2008, năm </w:t>
      </w:r>
      <w:r w:rsidRPr="00FC039C">
        <w:rPr>
          <w:rFonts w:eastAsia="Arial"/>
          <w:lang w:val="it-IT"/>
        </w:rPr>
        <w:t>2018</w:t>
      </w:r>
      <w:r>
        <w:rPr>
          <w:rFonts w:eastAsia="Arial"/>
          <w:lang w:val="it-IT"/>
        </w:rPr>
        <w:t xml:space="preserve"> và </w:t>
      </w:r>
      <w:r w:rsidRPr="00FC039C">
        <w:rPr>
          <w:lang w:val="it-IT"/>
        </w:rPr>
        <w:t>Nghị định số 95/20</w:t>
      </w:r>
      <w:r>
        <w:rPr>
          <w:lang w:val="it-IT"/>
        </w:rPr>
        <w:t>15</w:t>
      </w:r>
      <w:r w:rsidRPr="00FC039C">
        <w:rPr>
          <w:lang w:val="it-IT"/>
        </w:rPr>
        <w:t>/NĐ-CP ngày 16 tháng 10 năm 2015 của Chính phủ quy định chi tiết một số điều của Luật Dầu khí</w:t>
      </w:r>
      <w:r>
        <w:rPr>
          <w:lang w:val="it-IT"/>
        </w:rPr>
        <w:t xml:space="preserve"> (</w:t>
      </w:r>
      <w:r w:rsidRPr="00FC039C">
        <w:rPr>
          <w:lang w:val="it-IT"/>
        </w:rPr>
        <w:t>Nghị định số 95/2023/NĐ-CP</w:t>
      </w:r>
      <w:r>
        <w:rPr>
          <w:lang w:val="it-IT"/>
        </w:rPr>
        <w:t xml:space="preserve">), </w:t>
      </w:r>
      <w:r>
        <w:rPr>
          <w:lang w:val="it-IT" w:eastAsia="x-none"/>
        </w:rPr>
        <w:t>Quyết định số 49/2017/QĐ-TTg đã tạo cơ sở pháp lý và điều kiện thuận lợi cho các nhà thầu dầu khí, các nhà đầu tư xây dựng, trình duyệt K</w:t>
      </w:r>
      <w:r w:rsidRPr="00FC039C">
        <w:rPr>
          <w:lang w:val="it-IT" w:eastAsia="x-none"/>
        </w:rPr>
        <w:t xml:space="preserve">ế hoạch thu dọn </w:t>
      </w:r>
      <w:r>
        <w:rPr>
          <w:lang w:val="it-IT" w:eastAsia="x-none"/>
        </w:rPr>
        <w:t>công trình dầu khí và trích lập/trích nộp Q</w:t>
      </w:r>
      <w:r w:rsidRPr="00FC039C">
        <w:rPr>
          <w:lang w:val="it-IT" w:eastAsia="x-none"/>
        </w:rPr>
        <w:t xml:space="preserve">uỹ bảo đảm nghĩa vụ </w:t>
      </w:r>
      <w:r>
        <w:rPr>
          <w:lang w:val="it-IT" w:eastAsia="x-none"/>
        </w:rPr>
        <w:t xml:space="preserve">tài chính cho việc </w:t>
      </w:r>
      <w:r w:rsidRPr="00FC039C">
        <w:rPr>
          <w:lang w:val="it-IT" w:eastAsia="x-none"/>
        </w:rPr>
        <w:t>thu dọn các công trình</w:t>
      </w:r>
      <w:r>
        <w:rPr>
          <w:lang w:val="it-IT" w:eastAsia="x-none"/>
        </w:rPr>
        <w:t xml:space="preserve"> dầu khí. Cụ thể:</w:t>
      </w:r>
    </w:p>
    <w:p w:rsidR="00783FD8" w:rsidRDefault="007E7F82" w:rsidP="007E7F82">
      <w:pPr>
        <w:spacing w:before="120" w:after="120"/>
        <w:ind w:firstLine="720"/>
        <w:jc w:val="both"/>
        <w:rPr>
          <w:lang w:val="it-IT" w:eastAsia="x-none"/>
        </w:rPr>
      </w:pPr>
      <w:r>
        <w:rPr>
          <w:lang w:val="it-IT" w:eastAsia="x-none"/>
        </w:rPr>
        <w:t>- Đối với lĩnh vực thượng nguồn: đến nay Bộ Công Thương đã phê duyệt, phê duyệt điều chỉnh 34 K</w:t>
      </w:r>
      <w:r w:rsidRPr="00FC039C">
        <w:rPr>
          <w:lang w:val="it-IT" w:eastAsia="x-none"/>
        </w:rPr>
        <w:t xml:space="preserve">ế hoạch thu dọn </w:t>
      </w:r>
      <w:r>
        <w:rPr>
          <w:lang w:val="it-IT" w:eastAsia="x-none"/>
        </w:rPr>
        <w:t xml:space="preserve">công trình dầu khí với tổng chi phí để trích lập Quỹ </w:t>
      </w:r>
      <w:r w:rsidRPr="00CF71B2">
        <w:rPr>
          <w:lang w:val="it-IT" w:eastAsia="x-none"/>
        </w:rPr>
        <w:t>bảo đảm nghĩa vụ thu dọn các công trình dầu khí</w:t>
      </w:r>
      <w:r>
        <w:rPr>
          <w:lang w:val="it-IT" w:eastAsia="x-none"/>
        </w:rPr>
        <w:t xml:space="preserve"> khoảng 4,6 tỷ USD; đến hết năm 2023, các nhà thầu đã trích nộp Q</w:t>
      </w:r>
      <w:r w:rsidRPr="00FC039C">
        <w:rPr>
          <w:lang w:val="it-IT" w:eastAsia="x-none"/>
        </w:rPr>
        <w:t xml:space="preserve">uỹ </w:t>
      </w:r>
      <w:r>
        <w:rPr>
          <w:lang w:val="it-IT" w:eastAsia="x-none"/>
        </w:rPr>
        <w:t>với tổng số tiền khoảng 3,2 tỷ USD (hiện do Tập đoàn Dầu khí Việt Nam quản lý theo quy định của pháp luật về dầu khí).</w:t>
      </w:r>
      <w:r w:rsidR="00783FD8">
        <w:rPr>
          <w:lang w:val="it-IT" w:eastAsia="x-none"/>
        </w:rPr>
        <w:t xml:space="preserve"> </w:t>
      </w:r>
    </w:p>
    <w:p w:rsidR="007E7F82" w:rsidRDefault="007E7F82" w:rsidP="007E7F82">
      <w:pPr>
        <w:spacing w:before="120" w:after="120"/>
        <w:ind w:firstLine="720"/>
        <w:jc w:val="both"/>
        <w:rPr>
          <w:lang w:val="it-IT"/>
        </w:rPr>
      </w:pPr>
      <w:r>
        <w:rPr>
          <w:lang w:val="it-IT" w:eastAsia="x-none"/>
        </w:rPr>
        <w:lastRenderedPageBreak/>
        <w:t xml:space="preserve">- Đối với lĩnh vực trung nguồn: </w:t>
      </w:r>
      <w:r>
        <w:rPr>
          <w:lang w:val="it-IT"/>
        </w:rPr>
        <w:t>t</w:t>
      </w:r>
      <w:r w:rsidRPr="00FC039C">
        <w:rPr>
          <w:lang w:val="it-IT"/>
        </w:rPr>
        <w:t>ừ năm 2017 đến nay, Bộ Công Thương đã phê duyệt</w:t>
      </w:r>
      <w:r>
        <w:rPr>
          <w:lang w:val="it-IT"/>
        </w:rPr>
        <w:t xml:space="preserve"> 03 Kế hoạch thu dọn </w:t>
      </w:r>
      <w:r w:rsidRPr="00FC039C">
        <w:rPr>
          <w:lang w:val="it-IT"/>
        </w:rPr>
        <w:t>công trình khí</w:t>
      </w:r>
      <w:r>
        <w:rPr>
          <w:rStyle w:val="FootnoteReference"/>
          <w:lang w:val="it-IT"/>
        </w:rPr>
        <w:footnoteReference w:id="1"/>
      </w:r>
      <w:r>
        <w:rPr>
          <w:lang w:val="it-IT"/>
        </w:rPr>
        <w:t xml:space="preserve"> do Tổng công ty Khí Việt Nam - Công ty cổ phần (PVGas) làm </w:t>
      </w:r>
      <w:r w:rsidRPr="00E04507">
        <w:rPr>
          <w:lang w:val="it-IT"/>
        </w:rPr>
        <w:t>chủ đầu tư/</w:t>
      </w:r>
      <w:r>
        <w:rPr>
          <w:lang w:val="it-IT"/>
        </w:rPr>
        <w:t>chủ sở hữu; PVGas đã</w:t>
      </w:r>
      <w:r w:rsidRPr="00E04507">
        <w:rPr>
          <w:lang w:val="it-IT"/>
        </w:rPr>
        <w:t xml:space="preserve"> lập </w:t>
      </w:r>
      <w:r>
        <w:rPr>
          <w:lang w:val="it-IT"/>
        </w:rPr>
        <w:t>và đang quản lý Q</w:t>
      </w:r>
      <w:r w:rsidRPr="00E04507">
        <w:rPr>
          <w:lang w:val="it-IT"/>
        </w:rPr>
        <w:t xml:space="preserve">uỹ bảo đảm nghĩa vụ </w:t>
      </w:r>
      <w:r>
        <w:rPr>
          <w:lang w:val="it-IT"/>
        </w:rPr>
        <w:t xml:space="preserve">tài chính cho việc </w:t>
      </w:r>
      <w:r w:rsidRPr="00E04507">
        <w:rPr>
          <w:lang w:val="it-IT"/>
        </w:rPr>
        <w:t>thu dọn công trình khí theo quy định</w:t>
      </w:r>
      <w:r>
        <w:rPr>
          <w:lang w:val="it-IT"/>
        </w:rPr>
        <w:t xml:space="preserve"> với số dư Quỹ tính đến ngày 31 tháng 12 năm 2023 là khoảng 2,75 nghìn tỷ đồng.</w:t>
      </w:r>
    </w:p>
    <w:p w:rsidR="007E7F82" w:rsidRDefault="007E7F82" w:rsidP="007E7F82">
      <w:pPr>
        <w:spacing w:before="120" w:after="120"/>
        <w:ind w:firstLine="720"/>
        <w:jc w:val="both"/>
        <w:rPr>
          <w:lang w:val="it-IT"/>
        </w:rPr>
      </w:pPr>
      <w:r>
        <w:rPr>
          <w:lang w:val="it-IT"/>
        </w:rPr>
        <w:t xml:space="preserve">Tuy nhiên, sau ngày 01 tháng 7 năm 2023, căn cứ ban hành Quyết định số 49/2017/QĐ-TTg là </w:t>
      </w:r>
      <w:r w:rsidRPr="00FC039C">
        <w:rPr>
          <w:rFonts w:eastAsia="Arial"/>
          <w:lang w:val="it-IT"/>
        </w:rPr>
        <w:t>Luật Dầu khí năm 1993</w:t>
      </w:r>
      <w:r>
        <w:rPr>
          <w:rFonts w:eastAsia="Arial"/>
          <w:lang w:val="it-IT"/>
        </w:rPr>
        <w:t xml:space="preserve"> (</w:t>
      </w:r>
      <w:r w:rsidRPr="00FC039C">
        <w:rPr>
          <w:rFonts w:eastAsia="Arial"/>
          <w:lang w:val="it-IT"/>
        </w:rPr>
        <w:t xml:space="preserve">được sửa đổi, bổ sung </w:t>
      </w:r>
      <w:r>
        <w:rPr>
          <w:rFonts w:eastAsia="Arial"/>
          <w:lang w:val="it-IT"/>
        </w:rPr>
        <w:t xml:space="preserve">năm 2000, năm 2008, năm </w:t>
      </w:r>
      <w:r w:rsidRPr="00FC039C">
        <w:rPr>
          <w:rFonts w:eastAsia="Arial"/>
          <w:lang w:val="it-IT"/>
        </w:rPr>
        <w:t>2018</w:t>
      </w:r>
      <w:r>
        <w:rPr>
          <w:rFonts w:eastAsia="Arial"/>
          <w:lang w:val="it-IT"/>
        </w:rPr>
        <w:t xml:space="preserve">) và </w:t>
      </w:r>
      <w:r w:rsidRPr="00FC039C">
        <w:rPr>
          <w:lang w:val="it-IT"/>
        </w:rPr>
        <w:t>Nghị định số 95/2023/NĐ-CP</w:t>
      </w:r>
      <w:r>
        <w:rPr>
          <w:lang w:val="it-IT"/>
        </w:rPr>
        <w:t xml:space="preserve"> đã hết hiệu lực thi hành, cụ thể:</w:t>
      </w:r>
    </w:p>
    <w:p w:rsidR="007E7F82" w:rsidRDefault="007E7F82" w:rsidP="007E7F82">
      <w:pPr>
        <w:pStyle w:val="BodyText"/>
        <w:tabs>
          <w:tab w:val="left" w:pos="2472"/>
        </w:tabs>
        <w:ind w:firstLine="720"/>
        <w:jc w:val="both"/>
        <w:rPr>
          <w:lang w:val="it-IT" w:eastAsia="x-none"/>
        </w:rPr>
      </w:pPr>
      <w:r>
        <w:rPr>
          <w:lang w:val="it-IT"/>
        </w:rPr>
        <w:t xml:space="preserve">- </w:t>
      </w:r>
      <w:r w:rsidRPr="00FC039C">
        <w:rPr>
          <w:lang w:val="it-IT" w:eastAsia="x-none"/>
        </w:rPr>
        <w:t>N</w:t>
      </w:r>
      <w:r w:rsidRPr="00FC039C">
        <w:rPr>
          <w:lang w:val="x-none" w:eastAsia="x-none"/>
        </w:rPr>
        <w:t>gày 14 tháng 11 năm 2022</w:t>
      </w:r>
      <w:r w:rsidRPr="00FC039C">
        <w:rPr>
          <w:lang w:val="it-IT" w:eastAsia="x-none"/>
        </w:rPr>
        <w:t>, Luật Dầu khí số 12/2022/QH15 đã</w:t>
      </w:r>
      <w:r w:rsidRPr="00FC039C">
        <w:rPr>
          <w:lang w:val="x-none" w:eastAsia="x-none"/>
        </w:rPr>
        <w:t xml:space="preserve"> được Quốc hội </w:t>
      </w:r>
      <w:r w:rsidRPr="00FC039C">
        <w:rPr>
          <w:lang w:val="it-IT" w:eastAsia="x-none"/>
        </w:rPr>
        <w:t xml:space="preserve">khóa XV </w:t>
      </w:r>
      <w:r w:rsidRPr="00FC039C">
        <w:rPr>
          <w:lang w:val="x-none" w:eastAsia="x-none"/>
        </w:rPr>
        <w:t xml:space="preserve">thông qua </w:t>
      </w:r>
      <w:r w:rsidRPr="00FC039C">
        <w:rPr>
          <w:lang w:val="vi-VN"/>
        </w:rPr>
        <w:t xml:space="preserve">tại </w:t>
      </w:r>
      <w:r w:rsidRPr="00FC039C">
        <w:rPr>
          <w:lang w:val="it-IT"/>
        </w:rPr>
        <w:t>K</w:t>
      </w:r>
      <w:r w:rsidRPr="00FC039C">
        <w:rPr>
          <w:lang w:val="vi-VN"/>
        </w:rPr>
        <w:t xml:space="preserve">ỳ họp thứ </w:t>
      </w:r>
      <w:r w:rsidRPr="00FC039C">
        <w:rPr>
          <w:lang w:val="it-IT"/>
        </w:rPr>
        <w:t xml:space="preserve">4, </w:t>
      </w:r>
      <w:r w:rsidRPr="00FC039C">
        <w:rPr>
          <w:lang w:val="vi-VN"/>
        </w:rPr>
        <w:t>có hiệu lực thi hành từ ngày 01</w:t>
      </w:r>
      <w:r w:rsidRPr="00FC039C">
        <w:rPr>
          <w:lang w:val="it-IT"/>
        </w:rPr>
        <w:t xml:space="preserve"> tháng 7 năm </w:t>
      </w:r>
      <w:r w:rsidRPr="00FC039C">
        <w:rPr>
          <w:lang w:val="vi-VN"/>
        </w:rPr>
        <w:t>20</w:t>
      </w:r>
      <w:r w:rsidRPr="00FC039C">
        <w:rPr>
          <w:lang w:val="it-IT"/>
        </w:rPr>
        <w:t>23</w:t>
      </w:r>
      <w:r w:rsidRPr="00FC039C">
        <w:rPr>
          <w:lang w:val="x-none" w:eastAsia="x-none"/>
        </w:rPr>
        <w:t xml:space="preserve"> (</w:t>
      </w:r>
      <w:r w:rsidRPr="00FC039C">
        <w:rPr>
          <w:lang w:val="it-IT" w:eastAsia="x-none"/>
        </w:rPr>
        <w:t>Luật Dầu khí năm 2022</w:t>
      </w:r>
      <w:r w:rsidRPr="00FC039C">
        <w:rPr>
          <w:lang w:val="x-none" w:eastAsia="x-none"/>
        </w:rPr>
        <w:t>)</w:t>
      </w:r>
      <w:r>
        <w:rPr>
          <w:lang w:val="it-IT" w:eastAsia="x-none"/>
        </w:rPr>
        <w:t xml:space="preserve"> thay thế</w:t>
      </w:r>
      <w:r w:rsidRPr="00884346">
        <w:rPr>
          <w:lang w:val="it-IT" w:eastAsia="x-none"/>
        </w:rPr>
        <w:t xml:space="preserve"> </w:t>
      </w:r>
      <w:r w:rsidRPr="00FC039C">
        <w:rPr>
          <w:rFonts w:eastAsia="Arial"/>
          <w:lang w:val="it-IT"/>
        </w:rPr>
        <w:t>Luật Dầu khí năm 1993</w:t>
      </w:r>
      <w:r>
        <w:rPr>
          <w:rFonts w:eastAsia="Arial"/>
          <w:lang w:val="it-IT"/>
        </w:rPr>
        <w:t xml:space="preserve"> (</w:t>
      </w:r>
      <w:r w:rsidRPr="00FC039C">
        <w:rPr>
          <w:rFonts w:eastAsia="Arial"/>
          <w:lang w:val="it-IT"/>
        </w:rPr>
        <w:t xml:space="preserve">được sửa đổi, bổ sung </w:t>
      </w:r>
      <w:r>
        <w:rPr>
          <w:rFonts w:eastAsia="Arial"/>
          <w:lang w:val="it-IT"/>
        </w:rPr>
        <w:t xml:space="preserve">năm 2000, năm 2008 và năm </w:t>
      </w:r>
      <w:r w:rsidRPr="00FC039C">
        <w:rPr>
          <w:rFonts w:eastAsia="Arial"/>
          <w:lang w:val="it-IT"/>
        </w:rPr>
        <w:t>2018</w:t>
      </w:r>
      <w:r>
        <w:rPr>
          <w:rFonts w:eastAsia="Arial"/>
          <w:lang w:val="it-IT"/>
        </w:rPr>
        <w:t>)</w:t>
      </w:r>
      <w:r w:rsidRPr="00FC039C">
        <w:rPr>
          <w:lang w:val="it-IT" w:eastAsia="x-none"/>
        </w:rPr>
        <w:t xml:space="preserve">. </w:t>
      </w:r>
    </w:p>
    <w:p w:rsidR="007E7F82" w:rsidRPr="00C87616" w:rsidRDefault="007E7F82" w:rsidP="007E7F82">
      <w:pPr>
        <w:spacing w:before="120" w:after="120"/>
        <w:ind w:firstLine="720"/>
        <w:jc w:val="both"/>
        <w:rPr>
          <w:spacing w:val="-2"/>
          <w:lang w:val="it-IT"/>
        </w:rPr>
      </w:pPr>
      <w:r w:rsidRPr="00C87616">
        <w:rPr>
          <w:spacing w:val="-2"/>
          <w:lang w:val="it-IT"/>
        </w:rPr>
        <w:t>- Ngày 01 tháng 7 năm 2023, Chính phủ ban hành Nghị định số 45/2023/NĐ-CP quy định chi tiết một số điều của Luật Dầu khí, có hiệu lực thi hành từ ngày 01 tháng 7 năm 2023 (Nghị định số 45/2023/NĐ-CP), thay thế Nghị định số 95/2023/NĐ-CP ngày 16 tháng 10 năm 2015 của Chính phủ quy định chi tiết một số điều của Luật Dầu khí và Nghị định số 33/2013/NĐ-CP ngày 22 tháng 4 năm 2013 của Chính phủ ban hành Hợp đồng mẫu của Hợp đồng chia sản phẩm dầu khí.</w:t>
      </w:r>
    </w:p>
    <w:p w:rsidR="007E7F82" w:rsidRDefault="007E7F82" w:rsidP="007E7F82">
      <w:pPr>
        <w:spacing w:before="120" w:after="120"/>
        <w:ind w:firstLine="720"/>
        <w:jc w:val="both"/>
        <w:rPr>
          <w:lang w:val="it-IT" w:eastAsia="x-none"/>
        </w:rPr>
      </w:pPr>
      <w:r>
        <w:rPr>
          <w:lang w:val="it-IT"/>
        </w:rPr>
        <w:t xml:space="preserve">Qua rà soát Luật Dầu khí năm 2022, </w:t>
      </w:r>
      <w:r w:rsidRPr="00FC039C">
        <w:rPr>
          <w:lang w:val="it-IT"/>
        </w:rPr>
        <w:t>Nghị định số 45/2023/NĐ-CP</w:t>
      </w:r>
      <w:r>
        <w:rPr>
          <w:lang w:val="it-IT"/>
        </w:rPr>
        <w:t xml:space="preserve"> và Quyết định số </w:t>
      </w:r>
      <w:r>
        <w:rPr>
          <w:lang w:val="it-IT" w:eastAsia="x-none"/>
        </w:rPr>
        <w:t>49/2017/QĐ-TTg, Bộ Công Thương thấy rằng:</w:t>
      </w:r>
    </w:p>
    <w:p w:rsidR="007E7F82" w:rsidRPr="002D1079" w:rsidRDefault="007E7F82" w:rsidP="007E7F82">
      <w:pPr>
        <w:spacing w:before="120" w:after="120"/>
        <w:ind w:firstLine="720"/>
        <w:jc w:val="both"/>
        <w:rPr>
          <w:b/>
          <w:i/>
          <w:lang w:val="it-IT"/>
        </w:rPr>
      </w:pPr>
      <w:r w:rsidRPr="002D1079">
        <w:rPr>
          <w:b/>
          <w:i/>
          <w:lang w:val="it-IT" w:eastAsia="x-none"/>
        </w:rPr>
        <w:t>a</w:t>
      </w:r>
      <w:r w:rsidR="00C12182">
        <w:rPr>
          <w:b/>
          <w:i/>
          <w:lang w:val="it-IT" w:eastAsia="x-none"/>
        </w:rPr>
        <w:t>)</w:t>
      </w:r>
      <w:r w:rsidRPr="002D1079">
        <w:rPr>
          <w:b/>
          <w:i/>
          <w:lang w:val="it-IT" w:eastAsia="x-none"/>
        </w:rPr>
        <w:t xml:space="preserve"> Đối với lĩnh vực thượng nguồn</w:t>
      </w:r>
    </w:p>
    <w:p w:rsidR="007E7F82" w:rsidRDefault="007E7F82" w:rsidP="007E7F82">
      <w:pPr>
        <w:spacing w:before="120" w:after="120"/>
        <w:ind w:firstLine="720"/>
        <w:jc w:val="both"/>
        <w:rPr>
          <w:i/>
          <w:lang w:val="it-IT"/>
        </w:rPr>
      </w:pPr>
      <w:r>
        <w:rPr>
          <w:lang w:val="it-IT"/>
        </w:rPr>
        <w:t xml:space="preserve">Các nội dung của </w:t>
      </w:r>
      <w:r>
        <w:rPr>
          <w:lang w:val="it-IT" w:eastAsia="x-none"/>
        </w:rPr>
        <w:t xml:space="preserve">Quyết định số 49/2017/QĐ-TTg đối với lĩnh vực thượng nguồn (thu dọn công trình dầu khí </w:t>
      </w:r>
      <w:r w:rsidRPr="00FC039C">
        <w:rPr>
          <w:lang w:val="it-IT" w:eastAsia="x-none"/>
        </w:rPr>
        <w:t>phục vụ hoạt động tìm kiếm thăm dò, phát triển mỏ, khai thác dầu khí</w:t>
      </w:r>
      <w:r>
        <w:rPr>
          <w:lang w:val="it-IT" w:eastAsia="x-none"/>
        </w:rPr>
        <w:t>) đều đã được quy định tại Luật Dầu khí năm 2022</w:t>
      </w:r>
      <w:r>
        <w:rPr>
          <w:rStyle w:val="FootnoteReference"/>
          <w:lang w:val="it-IT" w:eastAsia="x-none"/>
        </w:rPr>
        <w:footnoteReference w:id="2"/>
      </w:r>
      <w:r>
        <w:rPr>
          <w:lang w:val="it-IT" w:eastAsia="x-none"/>
        </w:rPr>
        <w:t>, Nghị định số 45/2023/NĐ-CP</w:t>
      </w:r>
      <w:r>
        <w:rPr>
          <w:rStyle w:val="FootnoteReference"/>
          <w:lang w:val="it-IT" w:eastAsia="x-none"/>
        </w:rPr>
        <w:footnoteReference w:id="3"/>
      </w:r>
      <w:r>
        <w:rPr>
          <w:lang w:val="it-IT" w:eastAsia="x-none"/>
        </w:rPr>
        <w:t xml:space="preserve"> và </w:t>
      </w:r>
      <w:r>
        <w:rPr>
          <w:lang w:val="it-IT"/>
        </w:rPr>
        <w:t>Thông tư số 16/2024/TT-BCT ngày 16 tháng 9 năm 2024 của Bộ trưởng Bộ Công Thương quy định về bảo quản và hủy bỏ giếng khoan dầu khí, thu dọn công trình dầu khí, có hiệu lực từ ngày 04 tháng 11 năm 2024 (</w:t>
      </w:r>
      <w:r w:rsidRPr="007C018E">
        <w:rPr>
          <w:lang w:val="it-IT"/>
        </w:rPr>
        <w:t>Thông tư số 16/</w:t>
      </w:r>
      <w:r>
        <w:rPr>
          <w:lang w:val="it-IT"/>
        </w:rPr>
        <w:t>2024/TT-BCT)</w:t>
      </w:r>
      <w:r>
        <w:rPr>
          <w:rStyle w:val="FootnoteReference"/>
          <w:lang w:val="it-IT"/>
        </w:rPr>
        <w:footnoteReference w:id="4"/>
      </w:r>
      <w:r>
        <w:rPr>
          <w:lang w:val="it-IT"/>
        </w:rPr>
        <w:t xml:space="preserve">. </w:t>
      </w:r>
      <w:r w:rsidRPr="00FE7C85">
        <w:rPr>
          <w:i/>
          <w:lang w:val="it-IT"/>
        </w:rPr>
        <w:t>Tổng hợp các điều khoản của Quyết định số 49/2017/QĐ-TTg và lý do đề nghị bãi bỏ</w:t>
      </w:r>
      <w:r>
        <w:rPr>
          <w:i/>
          <w:lang w:val="it-IT"/>
        </w:rPr>
        <w:t xml:space="preserve"> tại Phụ lục 1 kèm theo.</w:t>
      </w:r>
    </w:p>
    <w:p w:rsidR="007E7F82" w:rsidRPr="002D1079" w:rsidRDefault="007E7F82" w:rsidP="007E7F82">
      <w:pPr>
        <w:spacing w:before="120" w:after="120"/>
        <w:ind w:firstLine="720"/>
        <w:jc w:val="both"/>
        <w:rPr>
          <w:b/>
          <w:i/>
          <w:lang w:val="it-IT"/>
        </w:rPr>
      </w:pPr>
      <w:r w:rsidRPr="002D1079">
        <w:rPr>
          <w:b/>
          <w:i/>
          <w:lang w:val="it-IT"/>
        </w:rPr>
        <w:t>b</w:t>
      </w:r>
      <w:r w:rsidR="00C12182">
        <w:rPr>
          <w:b/>
          <w:i/>
          <w:lang w:val="it-IT"/>
        </w:rPr>
        <w:t>)</w:t>
      </w:r>
      <w:r w:rsidRPr="002D1079">
        <w:rPr>
          <w:b/>
          <w:i/>
          <w:lang w:val="it-IT"/>
        </w:rPr>
        <w:t xml:space="preserve"> Đối với lĩnh vực trung nguồn</w:t>
      </w:r>
    </w:p>
    <w:p w:rsidR="007E7F82" w:rsidRDefault="007E7F82" w:rsidP="007E7F82">
      <w:pPr>
        <w:spacing w:before="120" w:after="120"/>
        <w:ind w:firstLine="720"/>
        <w:jc w:val="both"/>
        <w:rPr>
          <w:lang w:val="it-IT"/>
        </w:rPr>
      </w:pPr>
      <w:r>
        <w:rPr>
          <w:lang w:val="it-IT"/>
        </w:rPr>
        <w:t xml:space="preserve">Các nội dung của </w:t>
      </w:r>
      <w:r>
        <w:rPr>
          <w:lang w:val="it-IT" w:eastAsia="x-none"/>
        </w:rPr>
        <w:t>Quyết định số 49/2017/QĐ-TTg đối với lĩnh vực</w:t>
      </w:r>
      <w:r w:rsidRPr="00FC039C">
        <w:rPr>
          <w:lang w:val="it-IT"/>
        </w:rPr>
        <w:t xml:space="preserve"> trung nguồn</w:t>
      </w:r>
      <w:r>
        <w:rPr>
          <w:lang w:val="it-IT"/>
        </w:rPr>
        <w:t xml:space="preserve"> (thu dọn công trình khí</w:t>
      </w:r>
      <w:r w:rsidRPr="00FC039C">
        <w:rPr>
          <w:lang w:val="it-IT"/>
        </w:rPr>
        <w:t xml:space="preserve">) </w:t>
      </w:r>
      <w:r>
        <w:rPr>
          <w:lang w:val="it-IT"/>
        </w:rPr>
        <w:t>không còn phù hợp bởi các lý do sau:</w:t>
      </w:r>
    </w:p>
    <w:p w:rsidR="007E7F82" w:rsidRDefault="007E7F82" w:rsidP="007E7F82">
      <w:pPr>
        <w:spacing w:before="120" w:after="120"/>
        <w:ind w:firstLine="720"/>
        <w:jc w:val="both"/>
        <w:rPr>
          <w:lang w:val="it-IT" w:eastAsia="x-none"/>
        </w:rPr>
      </w:pPr>
      <w:r>
        <w:rPr>
          <w:lang w:val="it-IT"/>
        </w:rPr>
        <w:lastRenderedPageBreak/>
        <w:t>(i) Căn cứ để ban hành</w:t>
      </w:r>
      <w:r w:rsidRPr="00F5755F">
        <w:rPr>
          <w:lang w:val="it-IT" w:eastAsia="x-none"/>
        </w:rPr>
        <w:t xml:space="preserve"> </w:t>
      </w:r>
      <w:r>
        <w:rPr>
          <w:lang w:val="it-IT" w:eastAsia="x-none"/>
        </w:rPr>
        <w:t xml:space="preserve">Quyết định số 49/2017/QĐ-TTg là </w:t>
      </w:r>
      <w:r w:rsidRPr="00FC039C">
        <w:rPr>
          <w:rFonts w:eastAsia="Arial"/>
          <w:lang w:val="it-IT"/>
        </w:rPr>
        <w:t>Luật Dầu khí năm 1993</w:t>
      </w:r>
      <w:r>
        <w:rPr>
          <w:rFonts w:eastAsia="Arial"/>
          <w:lang w:val="it-IT"/>
        </w:rPr>
        <w:t xml:space="preserve"> (</w:t>
      </w:r>
      <w:r w:rsidRPr="00FC039C">
        <w:rPr>
          <w:rFonts w:eastAsia="Arial"/>
          <w:lang w:val="it-IT"/>
        </w:rPr>
        <w:t xml:space="preserve">được sửa đổi, bổ sung </w:t>
      </w:r>
      <w:r>
        <w:rPr>
          <w:rFonts w:eastAsia="Arial"/>
          <w:lang w:val="it-IT"/>
        </w:rPr>
        <w:t xml:space="preserve">năm 2000, năm 2008, năm </w:t>
      </w:r>
      <w:r w:rsidRPr="00FC039C">
        <w:rPr>
          <w:rFonts w:eastAsia="Arial"/>
          <w:lang w:val="it-IT"/>
        </w:rPr>
        <w:t>2018</w:t>
      </w:r>
      <w:r>
        <w:rPr>
          <w:rFonts w:eastAsia="Arial"/>
          <w:lang w:val="it-IT"/>
        </w:rPr>
        <w:t xml:space="preserve">) và </w:t>
      </w:r>
      <w:r w:rsidRPr="00FC039C">
        <w:rPr>
          <w:lang w:val="it-IT"/>
        </w:rPr>
        <w:t>Nghị định số 95/2023/NĐ-CP</w:t>
      </w:r>
      <w:r>
        <w:rPr>
          <w:lang w:val="it-IT"/>
        </w:rPr>
        <w:t xml:space="preserve"> đã được thay thế bởi Luật Dầu khí năm 2022 và Nghị định số 34/2023/NĐ-CP, </w:t>
      </w:r>
      <w:r>
        <w:rPr>
          <w:lang w:val="it-IT" w:eastAsia="x-none"/>
        </w:rPr>
        <w:t>theo đó chỉ điều chỉnh hoạt động thượng nguồn (các khái niệm “hoạt động dầu khí”, “công trình dầu khí” trong Luật Dầu khí năm 2022 đều liên quan đến lĩnh vực thượng nguồn)</w:t>
      </w:r>
      <w:r>
        <w:rPr>
          <w:rStyle w:val="FootnoteReference"/>
          <w:lang w:val="it-IT" w:eastAsia="x-none"/>
        </w:rPr>
        <w:footnoteReference w:id="5"/>
      </w:r>
      <w:r>
        <w:rPr>
          <w:lang w:val="it-IT" w:eastAsia="x-none"/>
        </w:rPr>
        <w:t xml:space="preserve">, không điều chỉnh đối với hoạt động trung nguồn. </w:t>
      </w:r>
    </w:p>
    <w:p w:rsidR="007E7F82" w:rsidRDefault="007E7F82" w:rsidP="007E7F82">
      <w:pPr>
        <w:spacing w:before="120" w:after="120"/>
        <w:ind w:firstLine="720"/>
        <w:jc w:val="both"/>
        <w:rPr>
          <w:lang w:val="it-IT"/>
        </w:rPr>
      </w:pPr>
      <w:r>
        <w:rPr>
          <w:lang w:val="it-IT" w:eastAsia="x-none"/>
        </w:rPr>
        <w:t>(ii) Việc thu dọn các ông trình khí (trung nguồn) k</w:t>
      </w:r>
      <w:r w:rsidRPr="00EF5201">
        <w:rPr>
          <w:lang w:val="it-IT"/>
        </w:rPr>
        <w:t>hông có nội dung đặc thù</w:t>
      </w:r>
      <w:r>
        <w:rPr>
          <w:lang w:val="it-IT"/>
        </w:rPr>
        <w:t>,</w:t>
      </w:r>
      <w:r w:rsidRPr="00EF5201">
        <w:rPr>
          <w:lang w:val="it-IT"/>
        </w:rPr>
        <w:t xml:space="preserve"> khác biệt so với pháp luật có liên quan</w:t>
      </w:r>
      <w:r>
        <w:rPr>
          <w:lang w:val="it-IT"/>
        </w:rPr>
        <w:t xml:space="preserve">: </w:t>
      </w:r>
      <w:r w:rsidRPr="00FC039C">
        <w:rPr>
          <w:lang w:val="it-IT"/>
        </w:rPr>
        <w:t>Luật Xây dựng</w:t>
      </w:r>
      <w:r>
        <w:rPr>
          <w:lang w:val="it-IT"/>
        </w:rPr>
        <w:t xml:space="preserve">, Luật Biển, </w:t>
      </w:r>
      <w:r w:rsidRPr="00FC039C">
        <w:rPr>
          <w:lang w:val="it-IT"/>
        </w:rPr>
        <w:t>Luật Tài nguyên, môi trường biển và hả</w:t>
      </w:r>
      <w:r>
        <w:rPr>
          <w:lang w:val="it-IT"/>
        </w:rPr>
        <w:t>i đảo, Luật Bảo vệ môi trường,... trong đó đã quy định các nội dung về thu dọn, phá dỡ công trình hết thời hạn sử dụng như sau:</w:t>
      </w:r>
    </w:p>
    <w:p w:rsidR="007E7F82" w:rsidRPr="00FC039C" w:rsidRDefault="007E7F82" w:rsidP="007E7F82">
      <w:pPr>
        <w:pStyle w:val="NormalWeb"/>
        <w:shd w:val="clear" w:color="auto" w:fill="FFFFFF"/>
        <w:spacing w:before="0" w:beforeAutospacing="0" w:after="120" w:afterAutospacing="0"/>
        <w:ind w:firstLine="709"/>
        <w:jc w:val="both"/>
        <w:rPr>
          <w:i/>
          <w:sz w:val="28"/>
          <w:szCs w:val="28"/>
          <w:lang w:val="it-IT"/>
        </w:rPr>
      </w:pPr>
      <w:r>
        <w:rPr>
          <w:sz w:val="28"/>
          <w:szCs w:val="28"/>
          <w:lang w:val="it-IT"/>
        </w:rPr>
        <w:t>- Đ</w:t>
      </w:r>
      <w:r w:rsidRPr="00FC039C">
        <w:rPr>
          <w:sz w:val="28"/>
          <w:szCs w:val="28"/>
          <w:lang w:val="it-IT"/>
        </w:rPr>
        <w:t xml:space="preserve">iểm d khoản 1 Điều 94 Luật Xây dựng </w:t>
      </w:r>
      <w:r>
        <w:rPr>
          <w:sz w:val="28"/>
          <w:szCs w:val="28"/>
          <w:lang w:val="it-IT"/>
        </w:rPr>
        <w:t xml:space="preserve">năm 2014, được </w:t>
      </w:r>
      <w:r w:rsidRPr="00FC039C">
        <w:rPr>
          <w:sz w:val="28"/>
          <w:szCs w:val="28"/>
          <w:lang w:val="it-IT"/>
        </w:rPr>
        <w:t xml:space="preserve">sửa đổi, bổ sung </w:t>
      </w:r>
      <w:r>
        <w:rPr>
          <w:sz w:val="28"/>
          <w:szCs w:val="28"/>
          <w:lang w:val="it-IT"/>
        </w:rPr>
        <w:t>năm 2020 quy định</w:t>
      </w:r>
      <w:r w:rsidRPr="00FC039C">
        <w:rPr>
          <w:sz w:val="28"/>
          <w:szCs w:val="28"/>
          <w:lang w:val="it-IT"/>
        </w:rPr>
        <w:t xml:space="preserve">: </w:t>
      </w:r>
      <w:r w:rsidRPr="00FC039C">
        <w:rPr>
          <w:i/>
          <w:sz w:val="28"/>
          <w:szCs w:val="28"/>
          <w:lang w:val="it-IT"/>
        </w:rPr>
        <w:t>“Khi hết thời hạn tồn tại của công trình ghi trong giấy phép xây dựng có thời hạn và cơ quan nhà nước có thẩm quyền có quyết định thu hồi đất, chủ đầu tư cam kết tự phá dỡ công trình, nếu không tự phá dỡ thì bị cưỡng chế và chịu mọi chi phí cho việc phá dỡ</w:t>
      </w:r>
      <w:r>
        <w:rPr>
          <w:i/>
          <w:sz w:val="28"/>
          <w:szCs w:val="28"/>
          <w:lang w:val="it-IT"/>
        </w:rPr>
        <w:t>...”.</w:t>
      </w:r>
    </w:p>
    <w:p w:rsidR="007E7F82" w:rsidRDefault="007E7F82" w:rsidP="007E7F82">
      <w:pPr>
        <w:pStyle w:val="NormalWeb"/>
        <w:shd w:val="clear" w:color="auto" w:fill="FFFFFF"/>
        <w:spacing w:before="0" w:beforeAutospacing="0" w:after="120" w:afterAutospacing="0"/>
        <w:ind w:firstLine="709"/>
        <w:jc w:val="both"/>
        <w:rPr>
          <w:sz w:val="28"/>
          <w:szCs w:val="28"/>
          <w:lang w:val="it-IT"/>
        </w:rPr>
      </w:pPr>
      <w:bookmarkStart w:id="1" w:name="dieu_41"/>
      <w:r>
        <w:rPr>
          <w:sz w:val="28"/>
          <w:szCs w:val="28"/>
          <w:lang w:val="it-IT"/>
        </w:rPr>
        <w:t>- K</w:t>
      </w:r>
      <w:r w:rsidRPr="00FC039C">
        <w:rPr>
          <w:sz w:val="28"/>
          <w:szCs w:val="28"/>
          <w:lang w:val="it-IT"/>
        </w:rPr>
        <w:t>hoản 2 và khoản 5 Điều 41 Nghị định số 06/2021/NĐ-CP ngày 26 tháng 01 năm 2021 của Chính phủ quy định chi tiết một số nội dung về quản lý chất lượng, thi công xây dựng và bảo trì công trình xây dựng công trình xây dựng (Nghị định số 06/2021/NĐ-CP)</w:t>
      </w:r>
      <w:r>
        <w:rPr>
          <w:sz w:val="28"/>
          <w:szCs w:val="28"/>
          <w:lang w:val="it-IT"/>
        </w:rPr>
        <w:t xml:space="preserve"> quy định</w:t>
      </w:r>
      <w:r w:rsidRPr="00FC039C">
        <w:rPr>
          <w:sz w:val="28"/>
          <w:szCs w:val="28"/>
          <w:lang w:val="it-IT"/>
        </w:rPr>
        <w:t>:</w:t>
      </w:r>
      <w:r>
        <w:rPr>
          <w:sz w:val="28"/>
          <w:szCs w:val="28"/>
          <w:lang w:val="it-IT"/>
        </w:rPr>
        <w:t xml:space="preserve"> </w:t>
      </w:r>
      <w:bookmarkStart w:id="2" w:name="khoan_2_41"/>
      <w:bookmarkEnd w:id="1"/>
    </w:p>
    <w:p w:rsidR="007E7F82" w:rsidRDefault="007E7F82" w:rsidP="007E7F82">
      <w:pPr>
        <w:pStyle w:val="NormalWeb"/>
        <w:shd w:val="clear" w:color="auto" w:fill="FFFFFF"/>
        <w:spacing w:before="0" w:beforeAutospacing="0" w:after="120" w:afterAutospacing="0"/>
        <w:ind w:firstLine="709"/>
        <w:jc w:val="both"/>
        <w:rPr>
          <w:i/>
          <w:sz w:val="28"/>
          <w:szCs w:val="28"/>
          <w:lang w:val="it-IT"/>
        </w:rPr>
      </w:pPr>
      <w:r w:rsidRPr="00FC039C">
        <w:rPr>
          <w:i/>
          <w:sz w:val="28"/>
          <w:szCs w:val="28"/>
          <w:lang w:val="it-IT"/>
        </w:rPr>
        <w:t>“2. Đối với công trình có ảnh hưởng lớn đến an toàn, lợi ích cộng đồng theo quy định của pháp luật về quản lý dự án đầu tư xây dựng, trong thời hạn tối thiểu 12 tháng trước khi công trình hết thời hạn sử dụng, chủ sở hữu hoặc người quản lý, sử dụng công trình phải báo cáo cơ quan nhà nước có thẩm quyền quy định tại</w:t>
      </w:r>
      <w:bookmarkEnd w:id="2"/>
      <w:r w:rsidRPr="00FC039C">
        <w:rPr>
          <w:i/>
          <w:sz w:val="28"/>
          <w:szCs w:val="28"/>
          <w:lang w:val="it-IT"/>
        </w:rPr>
        <w:t> </w:t>
      </w:r>
      <w:bookmarkStart w:id="3" w:name="tc_40"/>
      <w:r w:rsidRPr="00FC039C">
        <w:rPr>
          <w:i/>
          <w:sz w:val="28"/>
          <w:szCs w:val="28"/>
          <w:lang w:val="it-IT"/>
        </w:rPr>
        <w:t>khoản 4 Điều 39 Nghị định này</w:t>
      </w:r>
      <w:bookmarkEnd w:id="3"/>
      <w:r w:rsidRPr="00FC039C">
        <w:rPr>
          <w:i/>
          <w:sz w:val="28"/>
          <w:szCs w:val="28"/>
          <w:lang w:val="it-IT"/>
        </w:rPr>
        <w:t> </w:t>
      </w:r>
      <w:bookmarkStart w:id="4" w:name="khoan_2_41_name"/>
      <w:r w:rsidRPr="00FC039C">
        <w:rPr>
          <w:i/>
          <w:sz w:val="28"/>
          <w:szCs w:val="28"/>
          <w:lang w:val="it-IT"/>
        </w:rPr>
        <w:t>về thời điểm hết thời hạn sử dụng công trình và dự kiến phương án xử lý đối với công trình sau khi hết thời hạn sử dụng.</w:t>
      </w:r>
      <w:bookmarkEnd w:id="4"/>
      <w:r>
        <w:rPr>
          <w:i/>
          <w:sz w:val="28"/>
          <w:szCs w:val="28"/>
          <w:lang w:val="it-IT"/>
        </w:rPr>
        <w:t xml:space="preserve"> </w:t>
      </w:r>
      <w:bookmarkStart w:id="5" w:name="khoan_5_41"/>
    </w:p>
    <w:p w:rsidR="007E7F82" w:rsidRPr="00FC039C" w:rsidRDefault="007E7F82" w:rsidP="007E7F82">
      <w:pPr>
        <w:pStyle w:val="NormalWeb"/>
        <w:shd w:val="clear" w:color="auto" w:fill="FFFFFF"/>
        <w:spacing w:before="0" w:beforeAutospacing="0" w:after="120" w:afterAutospacing="0"/>
        <w:ind w:firstLine="709"/>
        <w:jc w:val="both"/>
        <w:rPr>
          <w:i/>
          <w:sz w:val="28"/>
          <w:szCs w:val="28"/>
          <w:lang w:val="it-IT"/>
        </w:rPr>
      </w:pPr>
      <w:r w:rsidRPr="00FC039C">
        <w:rPr>
          <w:i/>
          <w:sz w:val="28"/>
          <w:szCs w:val="28"/>
          <w:lang w:val="it-IT"/>
        </w:rPr>
        <w:t>5. Các trường hợp không tiếp tục sử dụng đối với công trình hết thời hạn sử dụng:</w:t>
      </w:r>
      <w:bookmarkEnd w:id="5"/>
      <w:r w:rsidRPr="00FC039C">
        <w:rPr>
          <w:i/>
          <w:sz w:val="28"/>
          <w:szCs w:val="28"/>
          <w:lang w:val="it-IT"/>
        </w:rPr>
        <w:t xml:space="preserve"> a) Chủ sở hữu hoặc người quản lý, sử dụng công trình không có nhu cầu sử dụng tiếp; b) Kết quả kiểm tra, kiểm định để đánh giá chất lượng hiện trạng của công trình cho thấy công trình không đảm bảo an toàn, không thể gia cố, cải tạo, sửa chữa; c) Công trình không được cơ quan nhà nước có thẩm quyền cho phép tiếp tục khai thác, sử dụng”.</w:t>
      </w:r>
    </w:p>
    <w:p w:rsidR="007E7F82" w:rsidRDefault="007E7F82" w:rsidP="007E7F82">
      <w:pPr>
        <w:pStyle w:val="NormalWeb"/>
        <w:shd w:val="clear" w:color="auto" w:fill="FFFFFF"/>
        <w:spacing w:before="0" w:beforeAutospacing="0" w:after="120" w:afterAutospacing="0"/>
        <w:ind w:firstLine="709"/>
        <w:jc w:val="both"/>
        <w:rPr>
          <w:i/>
          <w:sz w:val="28"/>
          <w:szCs w:val="28"/>
          <w:lang w:val="it-IT"/>
        </w:rPr>
      </w:pPr>
      <w:bookmarkStart w:id="6" w:name="dieu_42"/>
      <w:r>
        <w:rPr>
          <w:sz w:val="28"/>
          <w:szCs w:val="28"/>
          <w:lang w:val="it-IT"/>
        </w:rPr>
        <w:t>-</w:t>
      </w:r>
      <w:r w:rsidRPr="00FC039C">
        <w:rPr>
          <w:sz w:val="28"/>
          <w:szCs w:val="28"/>
          <w:lang w:val="it-IT"/>
        </w:rPr>
        <w:t xml:space="preserve"> </w:t>
      </w:r>
      <w:r>
        <w:rPr>
          <w:sz w:val="28"/>
          <w:szCs w:val="28"/>
          <w:lang w:val="it-IT"/>
        </w:rPr>
        <w:t>K</w:t>
      </w:r>
      <w:r w:rsidRPr="00FC039C">
        <w:rPr>
          <w:sz w:val="28"/>
          <w:szCs w:val="28"/>
          <w:lang w:val="it-IT"/>
        </w:rPr>
        <w:t>hoản 1 Điều 42 Nghị định số 06/2021/NĐ-CP</w:t>
      </w:r>
      <w:r>
        <w:rPr>
          <w:sz w:val="28"/>
          <w:szCs w:val="28"/>
          <w:lang w:val="it-IT"/>
        </w:rPr>
        <w:t xml:space="preserve"> quy định</w:t>
      </w:r>
      <w:r w:rsidRPr="00FC039C">
        <w:rPr>
          <w:sz w:val="28"/>
          <w:szCs w:val="28"/>
          <w:lang w:val="it-IT"/>
        </w:rPr>
        <w:t xml:space="preserve">: </w:t>
      </w:r>
      <w:bookmarkEnd w:id="6"/>
      <w:r w:rsidRPr="00FC039C">
        <w:rPr>
          <w:i/>
          <w:sz w:val="28"/>
          <w:szCs w:val="28"/>
          <w:lang w:val="it-IT"/>
        </w:rPr>
        <w:t>“Công trình phải phá dỡ khi hết thời hạn sử dụng theo quy định tại </w:t>
      </w:r>
      <w:bookmarkStart w:id="7" w:name="tc_44"/>
      <w:r w:rsidRPr="00FC039C">
        <w:rPr>
          <w:i/>
          <w:sz w:val="28"/>
          <w:szCs w:val="28"/>
          <w:lang w:val="it-IT"/>
        </w:rPr>
        <w:t>Điều 41 Nghị định này</w:t>
      </w:r>
      <w:bookmarkEnd w:id="7"/>
      <w:r w:rsidRPr="00FC039C">
        <w:rPr>
          <w:i/>
          <w:sz w:val="28"/>
          <w:szCs w:val="28"/>
          <w:lang w:val="it-IT"/>
        </w:rPr>
        <w:t>”.</w:t>
      </w:r>
    </w:p>
    <w:p w:rsidR="007E7F82" w:rsidRPr="00FC039C" w:rsidRDefault="007E7F82" w:rsidP="007E7F82">
      <w:pPr>
        <w:spacing w:before="120" w:after="120"/>
        <w:ind w:firstLine="720"/>
        <w:jc w:val="both"/>
        <w:rPr>
          <w:i/>
          <w:lang w:val="it-IT"/>
        </w:rPr>
      </w:pPr>
      <w:r>
        <w:rPr>
          <w:lang w:val="it-IT"/>
        </w:rPr>
        <w:t>- K</w:t>
      </w:r>
      <w:r w:rsidRPr="00FC039C">
        <w:rPr>
          <w:lang w:val="it-IT"/>
        </w:rPr>
        <w:t>hoản 5 Điều 34 Luật Biển số 18/2012/QH13</w:t>
      </w:r>
      <w:r>
        <w:rPr>
          <w:lang w:val="it-IT"/>
        </w:rPr>
        <w:t xml:space="preserve"> quy định</w:t>
      </w:r>
      <w:r w:rsidRPr="00FC039C">
        <w:rPr>
          <w:lang w:val="it-IT"/>
        </w:rPr>
        <w:t xml:space="preserve">: </w:t>
      </w:r>
      <w:r w:rsidRPr="00FC039C">
        <w:rPr>
          <w:i/>
          <w:lang w:val="it-IT"/>
        </w:rPr>
        <w:t xml:space="preserve">“Khi hết hạn sử dụng, thiết bị, công trình trên biển phải được tháo dỡ khỏi vùng biển Việt Nam, trừ </w:t>
      </w:r>
      <w:r w:rsidRPr="00FC039C">
        <w:rPr>
          <w:i/>
          <w:lang w:val="it-IT"/>
        </w:rPr>
        <w:lastRenderedPageBreak/>
        <w:t>trường hợp được cơ quan có thẩm quyền cho phép. Đối với phần còn lại của thiết bị, công trình trên biển chưa kịp tháo dỡ hoàn toàn vì lý do kỹ thuật hoặc được phép gia hạn thì phải thông báo rõ vị trí, kích thước, hình dạng, độ sâu và phải đặt các tín hiệu, báo hiệu hàng hải và nguy hiểm thích hợp”.</w:t>
      </w:r>
    </w:p>
    <w:p w:rsidR="007E7F82" w:rsidRPr="00FC039C" w:rsidRDefault="007E7F82" w:rsidP="007E7F82">
      <w:pPr>
        <w:pStyle w:val="NormalWeb"/>
        <w:shd w:val="clear" w:color="auto" w:fill="FFFFFF"/>
        <w:spacing w:before="0" w:beforeAutospacing="0" w:after="120" w:afterAutospacing="0"/>
        <w:ind w:firstLine="709"/>
        <w:jc w:val="both"/>
        <w:rPr>
          <w:i/>
          <w:sz w:val="28"/>
          <w:szCs w:val="28"/>
          <w:lang w:val="it-IT"/>
        </w:rPr>
      </w:pPr>
      <w:r>
        <w:rPr>
          <w:sz w:val="28"/>
          <w:szCs w:val="28"/>
          <w:lang w:val="it-IT"/>
        </w:rPr>
        <w:t>- K</w:t>
      </w:r>
      <w:r w:rsidRPr="00FC039C">
        <w:rPr>
          <w:sz w:val="28"/>
          <w:szCs w:val="28"/>
          <w:lang w:val="it-IT"/>
        </w:rPr>
        <w:t>hoản 2 Điều 45 Luật Tài nguyên, môi trường biển và hải đảo số 82/2015/QH13</w:t>
      </w:r>
      <w:r>
        <w:rPr>
          <w:sz w:val="28"/>
          <w:szCs w:val="28"/>
          <w:lang w:val="it-IT"/>
        </w:rPr>
        <w:t xml:space="preserve"> quy định</w:t>
      </w:r>
      <w:r w:rsidRPr="00FC039C">
        <w:rPr>
          <w:sz w:val="28"/>
          <w:szCs w:val="28"/>
          <w:lang w:val="it-IT"/>
        </w:rPr>
        <w:t xml:space="preserve">: </w:t>
      </w:r>
      <w:r w:rsidRPr="00FC039C">
        <w:rPr>
          <w:i/>
          <w:sz w:val="28"/>
          <w:szCs w:val="28"/>
          <w:lang w:val="it-IT"/>
        </w:rPr>
        <w:t>“Các công trình, thiết bị trên biển sau khi hết thời hạn sử dụng mà không tiếp tục sử dụng phải được tháo dỡ, vận chuyển về đất liền hoặc nhận chìm theo quy định của Luật này và pháp luật có liên quan”.</w:t>
      </w:r>
    </w:p>
    <w:p w:rsidR="007E7F82" w:rsidRDefault="007E7F82" w:rsidP="007E7F82">
      <w:pPr>
        <w:pStyle w:val="NormalWeb"/>
        <w:shd w:val="clear" w:color="auto" w:fill="FFFFFF"/>
        <w:spacing w:before="0" w:beforeAutospacing="0" w:after="120" w:afterAutospacing="0"/>
        <w:ind w:firstLine="709"/>
        <w:jc w:val="both"/>
        <w:rPr>
          <w:sz w:val="28"/>
          <w:szCs w:val="28"/>
          <w:lang w:val="it-IT"/>
        </w:rPr>
      </w:pPr>
      <w:r w:rsidRPr="005D51DD">
        <w:rPr>
          <w:sz w:val="28"/>
          <w:szCs w:val="28"/>
          <w:lang w:val="it-IT"/>
        </w:rPr>
        <w:t>Tuy nhiên, Luật Xây dựng</w:t>
      </w:r>
      <w:r>
        <w:rPr>
          <w:sz w:val="28"/>
          <w:szCs w:val="28"/>
          <w:lang w:val="it-IT"/>
        </w:rPr>
        <w:t xml:space="preserve">, </w:t>
      </w:r>
      <w:r w:rsidRPr="005D51DD">
        <w:rPr>
          <w:sz w:val="28"/>
          <w:szCs w:val="28"/>
          <w:lang w:val="it-IT"/>
        </w:rPr>
        <w:t>Luật Biển, Luật Tài nguy</w:t>
      </w:r>
      <w:r>
        <w:rPr>
          <w:sz w:val="28"/>
          <w:szCs w:val="28"/>
          <w:lang w:val="it-IT"/>
        </w:rPr>
        <w:t>ên, môi trường biển và hải đảo</w:t>
      </w:r>
      <w:r w:rsidRPr="005D51DD">
        <w:rPr>
          <w:sz w:val="28"/>
          <w:szCs w:val="28"/>
          <w:lang w:val="it-IT"/>
        </w:rPr>
        <w:t xml:space="preserve"> </w:t>
      </w:r>
      <w:r>
        <w:rPr>
          <w:sz w:val="28"/>
          <w:szCs w:val="28"/>
          <w:lang w:val="it-IT"/>
        </w:rPr>
        <w:t>không giao Chính phủ, Thủ tướng Chính phủ quy định chi tiết về việc thu dọn các công trình khí.</w:t>
      </w:r>
    </w:p>
    <w:p w:rsidR="007E7F82" w:rsidRDefault="007E7F82" w:rsidP="007E7F82">
      <w:pPr>
        <w:pStyle w:val="NormalWeb"/>
        <w:shd w:val="clear" w:color="auto" w:fill="FFFFFF"/>
        <w:spacing w:before="0" w:beforeAutospacing="0" w:after="120" w:afterAutospacing="0"/>
        <w:ind w:firstLine="709"/>
        <w:jc w:val="both"/>
        <w:rPr>
          <w:sz w:val="28"/>
          <w:szCs w:val="28"/>
          <w:lang w:val="it-IT"/>
        </w:rPr>
      </w:pPr>
      <w:r>
        <w:rPr>
          <w:sz w:val="28"/>
          <w:szCs w:val="28"/>
          <w:lang w:val="it-IT"/>
        </w:rPr>
        <w:t>(iii) Pháp luật hiện hành chỉ quy định việc lập và quản lý Quỹ bảo đảm nghĩa vụ thu dọn công trình dầu khí (lĩnh vực thượng nguồn) do có tính đặc thù (liên quan đến thu hồi chi phí của nhà thầu và Quỹ này do Tập đoàn Dầu khí Việt Nam thay mặt nước chủ nhà quản lý), không quy định việc lập và quản lý Quỹ bảo đảm nghĩa vụ thu dọn công trình khí (lĩnh vực trung nguồn), thay vào đó là khoản chi phí phá dỡ, thu dọn công trình do chủ đầu tư/chủ sở hữu công trình quản lý. Do đó, việc lập và quản lý Quỹ bảo đảm nghĩa vụ thu dọn công trình khí là chưa đầy đủ về cơ sở pháp lý.</w:t>
      </w:r>
    </w:p>
    <w:p w:rsidR="007E7F82" w:rsidRPr="00294599" w:rsidRDefault="007E7F82" w:rsidP="007E7F82">
      <w:pPr>
        <w:pStyle w:val="NormalWeb"/>
        <w:shd w:val="clear" w:color="auto" w:fill="FFFFFF"/>
        <w:spacing w:before="0" w:beforeAutospacing="0" w:after="120" w:afterAutospacing="0"/>
        <w:ind w:firstLine="709"/>
        <w:jc w:val="both"/>
        <w:rPr>
          <w:i/>
          <w:sz w:val="28"/>
          <w:szCs w:val="28"/>
          <w:lang w:val="it-IT"/>
        </w:rPr>
      </w:pPr>
      <w:r>
        <w:rPr>
          <w:sz w:val="28"/>
          <w:szCs w:val="28"/>
          <w:lang w:val="it-IT"/>
        </w:rPr>
        <w:t xml:space="preserve">(iv) Nội dung </w:t>
      </w:r>
      <w:r w:rsidRPr="00551A43">
        <w:rPr>
          <w:sz w:val="28"/>
          <w:szCs w:val="28"/>
          <w:lang w:val="it-IT"/>
        </w:rPr>
        <w:t xml:space="preserve">Quyết định số 49/2017/QĐ-TTg </w:t>
      </w:r>
      <w:r>
        <w:rPr>
          <w:sz w:val="28"/>
          <w:szCs w:val="28"/>
          <w:lang w:val="it-IT"/>
        </w:rPr>
        <w:t xml:space="preserve">không bao gồm những vấn đề quy định tại </w:t>
      </w:r>
      <w:r w:rsidRPr="00294599">
        <w:rPr>
          <w:sz w:val="28"/>
          <w:szCs w:val="28"/>
          <w:lang w:val="it-IT"/>
        </w:rPr>
        <w:t xml:space="preserve">Điều 20 Luật Ban hành văn bản quy phạm pháp luật năm 2015 (được sửa đổi, bổ sung năm 2020) về việc ban hành quyết định của Thủ tướng Chính phủ: </w:t>
      </w:r>
      <w:r w:rsidRPr="00294599">
        <w:rPr>
          <w:i/>
          <w:sz w:val="28"/>
          <w:szCs w:val="28"/>
          <w:lang w:val="it-IT"/>
        </w:rPr>
        <w:t xml:space="preserve">“1. </w:t>
      </w:r>
      <w:r w:rsidRPr="00294599">
        <w:rPr>
          <w:i/>
          <w:color w:val="000000"/>
          <w:sz w:val="28"/>
          <w:szCs w:val="28"/>
          <w:lang w:val="it-IT"/>
        </w:rPr>
        <w:t xml:space="preserve">Biện pháp lãnh đạo, điều hành hoạt động của Chính phủ và hệ thống hành chính nhà nước từ trung ương đến địa phương, chế độ làm việc </w:t>
      </w:r>
      <w:r w:rsidRPr="00294599">
        <w:rPr>
          <w:i/>
          <w:color w:val="000000"/>
          <w:sz w:val="28"/>
          <w:szCs w:val="28"/>
          <w:shd w:val="clear" w:color="auto" w:fill="FFFFFF"/>
          <w:lang w:val="it-IT"/>
        </w:rPr>
        <w:t>với</w:t>
      </w:r>
      <w:r w:rsidRPr="00294599">
        <w:rPr>
          <w:i/>
          <w:color w:val="000000"/>
          <w:sz w:val="28"/>
          <w:szCs w:val="28"/>
          <w:lang w:val="it-IT"/>
        </w:rPr>
        <w:t xml:space="preserve"> các thành viên Chính phủ, chính quyền địa phương và các vấn đề khác thuộc thẩm quyền của Thủ tướng Chính phủ</w:t>
      </w:r>
      <w:r w:rsidRPr="00294599">
        <w:rPr>
          <w:i/>
          <w:sz w:val="28"/>
          <w:szCs w:val="28"/>
          <w:lang w:val="it-IT"/>
        </w:rPr>
        <w:t xml:space="preserve">; 2. </w:t>
      </w:r>
      <w:r w:rsidRPr="00294599">
        <w:rPr>
          <w:i/>
          <w:color w:val="000000"/>
          <w:sz w:val="28"/>
          <w:szCs w:val="28"/>
          <w:lang w:val="it-IT"/>
        </w:rPr>
        <w:t>Biện pháp chỉ đạo, phối hợp hoạt động của các thành viên Chính phủ; kiểm tra hoạt động của các bộ, cơ quan ngang bộ, cơ quan thuộc Chính phủ, chính quyền địa phương trong việc thực hiện đường lối, chủ trương của Đảng, chính sách, pháp luật của Nhà nước</w:t>
      </w:r>
      <w:r w:rsidRPr="00294599">
        <w:rPr>
          <w:i/>
          <w:sz w:val="28"/>
          <w:szCs w:val="28"/>
          <w:lang w:val="it-IT"/>
        </w:rPr>
        <w:t xml:space="preserve">”. </w:t>
      </w:r>
    </w:p>
    <w:p w:rsidR="007E7F82" w:rsidRPr="00294599" w:rsidRDefault="007E7F82" w:rsidP="007E7F82">
      <w:pPr>
        <w:pStyle w:val="NormalWeb"/>
        <w:shd w:val="clear" w:color="auto" w:fill="FFFFFF"/>
        <w:spacing w:before="0" w:beforeAutospacing="0" w:after="120" w:afterAutospacing="0"/>
        <w:ind w:firstLine="709"/>
        <w:jc w:val="both"/>
        <w:rPr>
          <w:sz w:val="28"/>
          <w:szCs w:val="28"/>
          <w:lang w:val="it-IT"/>
        </w:rPr>
      </w:pPr>
      <w:r w:rsidRPr="00294599">
        <w:rPr>
          <w:sz w:val="28"/>
          <w:szCs w:val="28"/>
          <w:lang w:val="it-IT"/>
        </w:rPr>
        <w:t>Với các phân tích nêu trên, Bộ Công Thương thấy rằng</w:t>
      </w:r>
      <w:r>
        <w:rPr>
          <w:sz w:val="28"/>
          <w:szCs w:val="28"/>
          <w:lang w:val="it-IT"/>
        </w:rPr>
        <w:t>: (i)</w:t>
      </w:r>
      <w:r w:rsidRPr="00294599">
        <w:rPr>
          <w:sz w:val="28"/>
          <w:szCs w:val="28"/>
          <w:lang w:val="it-IT"/>
        </w:rPr>
        <w:t xml:space="preserve"> các nội dung của Quyết định số 49/2017/QĐ-TTg liên quan đến lĩnh vực thượng nguồn đã được quy định tại các văn bản quy phạm pháp luật khác (Luật Dầu khí năm 2022, Nghị định số 45/2023/</w:t>
      </w:r>
      <w:r>
        <w:rPr>
          <w:sz w:val="28"/>
          <w:szCs w:val="28"/>
          <w:lang w:val="it-IT"/>
        </w:rPr>
        <w:t>NĐ-CP, Thông tư 16/2024/TT-BCT); (ii)</w:t>
      </w:r>
      <w:r w:rsidRPr="00294599">
        <w:rPr>
          <w:sz w:val="28"/>
          <w:szCs w:val="28"/>
          <w:lang w:val="it-IT"/>
        </w:rPr>
        <w:t xml:space="preserve"> các nội dung của Quyết định số 49/2017/QĐ-TTg liên quan đến lĩnh vực trung nguồn chưa có đầy đủ cơ sở pháp lý theo quy định hiện hành. Do đó, việc bãi bỏ Quyết định số 49/2017/QĐ-TTg là cần thiết và có cơ sở.</w:t>
      </w:r>
    </w:p>
    <w:p w:rsidR="007E7F82" w:rsidRPr="00B57146" w:rsidRDefault="00A92D94" w:rsidP="00ED17B1">
      <w:pPr>
        <w:spacing w:before="120" w:after="120"/>
        <w:ind w:firstLine="720"/>
        <w:jc w:val="both"/>
        <w:rPr>
          <w:b/>
          <w:lang w:val="it-IT" w:eastAsia="x-none"/>
        </w:rPr>
      </w:pPr>
      <w:r>
        <w:rPr>
          <w:b/>
          <w:lang w:val="it-IT" w:eastAsia="x-none"/>
        </w:rPr>
        <w:t>3</w:t>
      </w:r>
      <w:r w:rsidR="007E7F82" w:rsidRPr="00B57146">
        <w:rPr>
          <w:b/>
          <w:lang w:val="it-IT" w:eastAsia="x-none"/>
        </w:rPr>
        <w:t xml:space="preserve">. </w:t>
      </w:r>
      <w:r w:rsidR="001569B8">
        <w:rPr>
          <w:b/>
          <w:lang w:val="it-IT" w:eastAsia="x-none"/>
        </w:rPr>
        <w:t xml:space="preserve">Tổng kết </w:t>
      </w:r>
      <w:r w:rsidR="001569B8">
        <w:rPr>
          <w:b/>
          <w:lang w:val="it-IT"/>
        </w:rPr>
        <w:t>thi hành</w:t>
      </w:r>
      <w:r w:rsidR="00ED17B1">
        <w:rPr>
          <w:b/>
          <w:lang w:val="it-IT"/>
        </w:rPr>
        <w:t xml:space="preserve"> </w:t>
      </w:r>
      <w:r w:rsidR="00ED17B1" w:rsidRPr="002E7749">
        <w:rPr>
          <w:rFonts w:ascii="Times New Roman Bold" w:hAnsi="Times New Roman Bold"/>
          <w:b/>
          <w:spacing w:val="-6"/>
          <w:lang w:val="vi-VN" w:eastAsia="x-none"/>
        </w:rPr>
        <w:t>Quyết định</w:t>
      </w:r>
      <w:r w:rsidR="00ED17B1" w:rsidRPr="002E7749">
        <w:rPr>
          <w:rFonts w:ascii="Times New Roman Bold" w:hAnsi="Times New Roman Bold"/>
          <w:b/>
          <w:spacing w:val="-6"/>
          <w:lang w:val="it-IT" w:eastAsia="x-none"/>
        </w:rPr>
        <w:t xml:space="preserve"> số 84/2010/QĐ-TTg n</w:t>
      </w:r>
      <w:r w:rsidR="00ED17B1" w:rsidRPr="002E7749">
        <w:rPr>
          <w:rFonts w:ascii="Times New Roman Bold" w:hAnsi="Times New Roman Bold"/>
          <w:b/>
          <w:spacing w:val="-6"/>
          <w:lang w:val="vi-VN" w:eastAsia="x-none"/>
        </w:rPr>
        <w:t xml:space="preserve">gày </w:t>
      </w:r>
      <w:r w:rsidR="00ED17B1" w:rsidRPr="002E7749">
        <w:rPr>
          <w:rFonts w:ascii="Times New Roman Bold" w:hAnsi="Times New Roman Bold"/>
          <w:b/>
          <w:spacing w:val="-6"/>
          <w:lang w:val="it-IT" w:eastAsia="x-none"/>
        </w:rPr>
        <w:t>15 tháng 12 năm 2010 của Thủ tướng Chính phủ về việc ban hành Quy chế khai thác dầu kh</w:t>
      </w:r>
      <w:r w:rsidR="00ED17B1" w:rsidRPr="00D31021">
        <w:rPr>
          <w:b/>
          <w:lang w:val="it-IT" w:eastAsia="x-none"/>
        </w:rPr>
        <w:t>í</w:t>
      </w:r>
      <w:r w:rsidR="00ED17B1">
        <w:rPr>
          <w:b/>
          <w:lang w:val="it-IT" w:eastAsia="x-none"/>
        </w:rPr>
        <w:t xml:space="preserve"> (</w:t>
      </w:r>
      <w:r w:rsidR="00ED17B1" w:rsidRPr="002E7749">
        <w:rPr>
          <w:rFonts w:ascii="Times New Roman Bold" w:hAnsi="Times New Roman Bold"/>
          <w:b/>
          <w:spacing w:val="-6"/>
          <w:lang w:val="vi-VN" w:eastAsia="x-none"/>
        </w:rPr>
        <w:t>Quyết định</w:t>
      </w:r>
      <w:r w:rsidR="00ED17B1" w:rsidRPr="002E7749">
        <w:rPr>
          <w:rFonts w:ascii="Times New Roman Bold" w:hAnsi="Times New Roman Bold"/>
          <w:b/>
          <w:spacing w:val="-6"/>
          <w:lang w:val="it-IT" w:eastAsia="x-none"/>
        </w:rPr>
        <w:t xml:space="preserve"> số 84/2010/QĐ-TTg</w:t>
      </w:r>
      <w:r w:rsidR="00ED17B1">
        <w:rPr>
          <w:rFonts w:ascii="Times New Roman Bold" w:hAnsi="Times New Roman Bold"/>
          <w:b/>
          <w:spacing w:val="-6"/>
          <w:lang w:val="it-IT" w:eastAsia="x-none"/>
        </w:rPr>
        <w:t>)</w:t>
      </w:r>
    </w:p>
    <w:p w:rsidR="00C87616" w:rsidRPr="000D04EE" w:rsidRDefault="0033215A" w:rsidP="00015C17">
      <w:pPr>
        <w:spacing w:after="120"/>
        <w:ind w:firstLine="720"/>
        <w:jc w:val="both"/>
        <w:rPr>
          <w:lang w:val="it-IT"/>
        </w:rPr>
      </w:pPr>
      <w:r w:rsidRPr="0033215A">
        <w:rPr>
          <w:lang w:val="it-IT"/>
        </w:rPr>
        <w:t>Quyết định số 84/2010/QĐ-TTg</w:t>
      </w:r>
      <w:r>
        <w:rPr>
          <w:lang w:val="it-IT"/>
        </w:rPr>
        <w:t xml:space="preserve"> được xây dựng trên cơ sở Luật Dầu khí năm 1993, được sửa đổi bổ sung năm 2000 và năm 2008, tham khảo thông lệ công nghiệp dầu khí quốc tế. Cùng với Luật Dầu khí, </w:t>
      </w:r>
      <w:r w:rsidRPr="0033215A">
        <w:rPr>
          <w:lang w:val="it-IT"/>
        </w:rPr>
        <w:t>Quyết định số 84/2010/QĐ-TTg</w:t>
      </w:r>
      <w:r>
        <w:rPr>
          <w:lang w:val="it-IT"/>
        </w:rPr>
        <w:t xml:space="preserve"> đã tạo hành lang pháp lý thuận lợi cho Tập đoàn Dầu khí</w:t>
      </w:r>
      <w:r w:rsidRPr="0033215A">
        <w:rPr>
          <w:lang w:val="it-IT"/>
        </w:rPr>
        <w:t xml:space="preserve"> </w:t>
      </w:r>
      <w:r>
        <w:rPr>
          <w:lang w:val="it-IT"/>
        </w:rPr>
        <w:t xml:space="preserve">Việt Nam, nay là Tập </w:t>
      </w:r>
      <w:r>
        <w:rPr>
          <w:lang w:val="it-IT"/>
        </w:rPr>
        <w:lastRenderedPageBreak/>
        <w:t>đoàn Công nghiệp - Năng lượng Quốc gia Việt Nam (PVN) và các nhà thầu trong hoạt động dầu khí, nhất là về quy trình thủ tục triển khai, lập và trình duyệt các nội dung trong hoạt động dầu khí</w:t>
      </w:r>
      <w:r w:rsidR="00015C17">
        <w:rPr>
          <w:lang w:val="it-IT"/>
        </w:rPr>
        <w:t>, tr</w:t>
      </w:r>
      <w:r w:rsidR="00C87616" w:rsidRPr="000D04EE">
        <w:rPr>
          <w:bCs/>
          <w:lang w:val="it-IT"/>
        </w:rPr>
        <w:t>ong đó có nhiều nội dung hướng dẫn về chuyên môn, kỹ thuật như: nghiến cứu khảo sát giếng, vỉa và mỏ (Chương 3); vận hành giếng phát triển (Chương 4); bảo vệ tài nguyên (Chương 5); sản lượng khai thác (Chương 6); đo lường và kiểm tra (Chương 7); xây dựng công trình khai thác dầu khí (Chương 8); an toàn, môi trường và huấn luyệ</w:t>
      </w:r>
      <w:r w:rsidR="00015C17" w:rsidRPr="000D04EE">
        <w:rPr>
          <w:bCs/>
          <w:lang w:val="it-IT"/>
        </w:rPr>
        <w:t>n nhân viên (Chương 9); các hoạt</w:t>
      </w:r>
      <w:r w:rsidR="00C87616" w:rsidRPr="000D04EE">
        <w:rPr>
          <w:bCs/>
          <w:lang w:val="it-IT"/>
        </w:rPr>
        <w:t xml:space="preserve"> động sản xuất liên quan đến khai thác dầu khí (Chương 10); quyền thâm nhập, giám sát và điều tra (Chương 11); </w:t>
      </w:r>
      <w:r w:rsidR="00015C17" w:rsidRPr="000D04EE">
        <w:rPr>
          <w:bCs/>
          <w:lang w:val="it-IT"/>
        </w:rPr>
        <w:t>ghi chép và báo cáo (Chương 12).</w:t>
      </w:r>
    </w:p>
    <w:p w:rsidR="007E7F82" w:rsidRPr="000A1E39" w:rsidRDefault="007E7F82" w:rsidP="007E7F82">
      <w:pPr>
        <w:spacing w:after="120"/>
        <w:ind w:firstLine="720"/>
        <w:jc w:val="both"/>
        <w:rPr>
          <w:i/>
          <w:lang w:val="it-IT"/>
        </w:rPr>
      </w:pPr>
      <w:r w:rsidRPr="0033215A">
        <w:rPr>
          <w:lang w:val="it-IT"/>
        </w:rPr>
        <w:t>Sau khi Luật Dầu khí số 12/2022/QH15</w:t>
      </w:r>
      <w:r w:rsidRPr="00222645">
        <w:rPr>
          <w:lang w:val="vi-VN"/>
        </w:rPr>
        <w:t xml:space="preserve"> </w:t>
      </w:r>
      <w:r w:rsidRPr="00CB0DC3">
        <w:rPr>
          <w:lang w:val="it-IT"/>
        </w:rPr>
        <w:t>n</w:t>
      </w:r>
      <w:r w:rsidRPr="00222645">
        <w:rPr>
          <w:lang w:val="vi-VN"/>
        </w:rPr>
        <w:t>gày 14 tháng 11 năm 2022</w:t>
      </w:r>
      <w:r w:rsidRPr="00CB0DC3">
        <w:rPr>
          <w:lang w:val="it-IT"/>
        </w:rPr>
        <w:t xml:space="preserve"> (</w:t>
      </w:r>
      <w:r w:rsidRPr="00222645">
        <w:rPr>
          <w:lang w:val="vi-VN"/>
        </w:rPr>
        <w:t>Luật Dầu khí năm 2022</w:t>
      </w:r>
      <w:r w:rsidRPr="00CB0DC3">
        <w:rPr>
          <w:lang w:val="it-IT"/>
        </w:rPr>
        <w:t>)</w:t>
      </w:r>
      <w:r w:rsidRPr="00222645">
        <w:rPr>
          <w:lang w:val="vi-VN"/>
        </w:rPr>
        <w:t xml:space="preserve"> và Nghị định số 45/2023/NĐ-CP của Chính phủ quy định chi tiết một số điều của Luật Dầu khí (Nghị định số 45/2023/NĐ-CP) có hiệu lực từ ngày 01 tháng 7 năm 2023 thì hầu hết các nội</w:t>
      </w:r>
      <w:r w:rsidRPr="00D1791F">
        <w:rPr>
          <w:lang w:val="it-IT"/>
        </w:rPr>
        <w:t xml:space="preserve"> dung chính của Quyết định số 84/2010/QĐ-TTg đã được quy định tại Luật Dầu khí năm 2022 và Nghị định số 45/2023/NĐ-CP (nhất là các quy định về hồ sơ, trình tự, thủ tục </w:t>
      </w:r>
      <w:r>
        <w:rPr>
          <w:lang w:val="it-IT"/>
        </w:rPr>
        <w:t xml:space="preserve">thẩm định, </w:t>
      </w:r>
      <w:r w:rsidRPr="00D1791F">
        <w:rPr>
          <w:lang w:val="it-IT"/>
        </w:rPr>
        <w:t xml:space="preserve">phê duyệt/chấp thuận </w:t>
      </w:r>
      <w:r>
        <w:rPr>
          <w:lang w:val="it-IT"/>
        </w:rPr>
        <w:t xml:space="preserve">đối với </w:t>
      </w:r>
      <w:r w:rsidRPr="00D1791F">
        <w:rPr>
          <w:lang w:val="it-IT"/>
        </w:rPr>
        <w:t xml:space="preserve">hoạt động dầu khí), do đó về nguyên tắc Quyết định số 84/2010/QĐ-TTg hiện đã hết hiệu lực một phần, chỉ còn lại một số nội dung mang tính kỹ thuật, hướng dẫn về chuyên môn, nghiệp vụ (như </w:t>
      </w:r>
      <w:r>
        <w:rPr>
          <w:lang w:val="it-IT"/>
        </w:rPr>
        <w:t xml:space="preserve">mở vỉa và khai thác, nghiên cứu khảo </w:t>
      </w:r>
      <w:r w:rsidRPr="00D63AC4">
        <w:rPr>
          <w:lang w:val="it-IT"/>
        </w:rPr>
        <w:t xml:space="preserve">sát giếng, vỉa và mỏ, vận hành giếng phát triển, bơm ép thay thế chất lưu vào vỉa hay mỏ dầu khí,…). </w:t>
      </w:r>
      <w:r w:rsidRPr="00A52220">
        <w:rPr>
          <w:lang w:val="it-IT"/>
        </w:rPr>
        <w:t>Trong quá trình triển khai các hoạt động dầu khí, các nội dung mang tính kỹ thuật cần được thường xuyên cập nhật, bổ sung cho phù hợp với thông lệ công nghiệp dầu khí quốc tế và tiến bộ của khoa học công nghệ.</w:t>
      </w:r>
    </w:p>
    <w:p w:rsidR="007E7F82" w:rsidRPr="00A52220" w:rsidRDefault="007E7F82" w:rsidP="007E7F82">
      <w:pPr>
        <w:spacing w:after="120"/>
        <w:ind w:firstLine="720"/>
        <w:jc w:val="both"/>
        <w:rPr>
          <w:lang w:val="it-IT"/>
        </w:rPr>
      </w:pPr>
      <w:r w:rsidRPr="00A52220">
        <w:rPr>
          <w:lang w:val="it-IT"/>
        </w:rPr>
        <w:t xml:space="preserve">Theo quy định tại Điều 20 Luật Ban hành văn bản quy phạm pháp luật năm 2015, được sửa đổi bổ sung năm 2020: </w:t>
      </w:r>
      <w:r w:rsidRPr="00A52220">
        <w:rPr>
          <w:i/>
          <w:lang w:val="it-IT"/>
        </w:rPr>
        <w:t>“Thủ tướng Chính phủ ban hành quyết định để quy định:</w:t>
      </w:r>
      <w:r>
        <w:rPr>
          <w:i/>
          <w:lang w:val="it-IT"/>
        </w:rPr>
        <w:t xml:space="preserve"> </w:t>
      </w:r>
      <w:r w:rsidRPr="00A52220">
        <w:rPr>
          <w:i/>
          <w:lang w:val="it-IT"/>
        </w:rPr>
        <w:t>1. Biện pháp lãnh đạo, điều hành hoạt động của Chính phủ và hệ thống hành chính nhà nước từ trung ương đến địa phương, chế độ làm việc với các thành viên Chính phủ, chính quyền địa phương và các vấn đề khác thuộc thẩ</w:t>
      </w:r>
      <w:r>
        <w:rPr>
          <w:i/>
          <w:lang w:val="it-IT"/>
        </w:rPr>
        <w:t xml:space="preserve">m quyền của Thủ tướng Chính phủ. </w:t>
      </w:r>
      <w:r w:rsidRPr="00A52220">
        <w:rPr>
          <w:i/>
          <w:lang w:val="it-IT"/>
        </w:rPr>
        <w:t>2. Biện pháp chỉ đạo, phối hợp hoạt động của các thành viên Chính phủ; kiểm tra hoạt động của các bộ, cơ quan ngang bộ, cơ quan thuộc Chính phủ, chính quyền địa phương trong việc thực hiện đường lối, chủ trương của Đảng, chính sách, pháp luật của Nhà nước”.</w:t>
      </w:r>
    </w:p>
    <w:p w:rsidR="007E7F82" w:rsidRDefault="007E7F82" w:rsidP="007E7F82">
      <w:pPr>
        <w:pStyle w:val="NormalWeb"/>
        <w:shd w:val="clear" w:color="auto" w:fill="FFFFFF"/>
        <w:spacing w:before="0" w:beforeAutospacing="0" w:after="120" w:afterAutospacing="0"/>
        <w:ind w:firstLine="720"/>
        <w:jc w:val="both"/>
        <w:rPr>
          <w:sz w:val="28"/>
          <w:szCs w:val="28"/>
          <w:lang w:val="it-IT"/>
        </w:rPr>
      </w:pPr>
      <w:r w:rsidRPr="00A52220">
        <w:rPr>
          <w:sz w:val="28"/>
          <w:szCs w:val="28"/>
          <w:lang w:val="it-IT"/>
        </w:rPr>
        <w:t xml:space="preserve">Như vậy, </w:t>
      </w:r>
      <w:r>
        <w:rPr>
          <w:sz w:val="28"/>
          <w:szCs w:val="28"/>
          <w:lang w:val="it-IT"/>
        </w:rPr>
        <w:t xml:space="preserve">theo quy định của pháp luật hiện hành, </w:t>
      </w:r>
      <w:r w:rsidRPr="00A52220">
        <w:rPr>
          <w:sz w:val="28"/>
          <w:szCs w:val="28"/>
          <w:lang w:val="it-IT"/>
        </w:rPr>
        <w:t xml:space="preserve">các nội dung mang tính hướng dẫn về mặt kỹ thuật, chuyên môn, nghiệp vụ không </w:t>
      </w:r>
      <w:r>
        <w:rPr>
          <w:sz w:val="28"/>
          <w:szCs w:val="28"/>
          <w:lang w:val="it-IT"/>
        </w:rPr>
        <w:t xml:space="preserve">còn </w:t>
      </w:r>
      <w:r w:rsidRPr="00A52220">
        <w:rPr>
          <w:sz w:val="28"/>
          <w:szCs w:val="28"/>
          <w:lang w:val="it-IT"/>
        </w:rPr>
        <w:t xml:space="preserve">phù hợp trong Quyết định của Thủ tướng Chính phủ. </w:t>
      </w:r>
      <w:r>
        <w:rPr>
          <w:sz w:val="28"/>
          <w:szCs w:val="28"/>
          <w:lang w:val="it-IT"/>
        </w:rPr>
        <w:t xml:space="preserve">Do đó, các </w:t>
      </w:r>
      <w:r w:rsidRPr="00A52220">
        <w:rPr>
          <w:sz w:val="28"/>
          <w:szCs w:val="28"/>
          <w:lang w:val="it-IT"/>
        </w:rPr>
        <w:t>nội dung mang tính hướng dẫn về mặt kỹ thuật, chuyên môn, nghiệp vụ</w:t>
      </w:r>
      <w:r>
        <w:rPr>
          <w:sz w:val="28"/>
          <w:szCs w:val="28"/>
          <w:lang w:val="it-IT"/>
        </w:rPr>
        <w:t xml:space="preserve"> tại </w:t>
      </w:r>
      <w:r w:rsidRPr="00D63AC4">
        <w:rPr>
          <w:sz w:val="28"/>
          <w:szCs w:val="28"/>
          <w:lang w:val="it-IT"/>
        </w:rPr>
        <w:t>Quyết định số 84/2010/QĐ-TTg</w:t>
      </w:r>
      <w:r>
        <w:rPr>
          <w:sz w:val="28"/>
          <w:szCs w:val="28"/>
          <w:lang w:val="it-IT"/>
        </w:rPr>
        <w:t xml:space="preserve"> cần được đưa vào Thông tư của Bộ Công Thương.</w:t>
      </w:r>
    </w:p>
    <w:p w:rsidR="007E7F82" w:rsidRPr="000A1E39" w:rsidRDefault="007E7F82" w:rsidP="007E7F82">
      <w:pPr>
        <w:spacing w:after="120"/>
        <w:ind w:firstLine="720"/>
        <w:jc w:val="both"/>
        <w:rPr>
          <w:i/>
          <w:lang w:val="it-IT"/>
        </w:rPr>
      </w:pPr>
      <w:r>
        <w:rPr>
          <w:lang w:val="it-IT"/>
        </w:rPr>
        <w:t>Với các lý do nêu trên</w:t>
      </w:r>
      <w:r w:rsidRPr="00D63AC4">
        <w:rPr>
          <w:lang w:val="it-IT"/>
        </w:rPr>
        <w:t>, việc bãi bỏ Quyết định số 84/2010/QĐ-TTg là cần thiết và có cơ sở.</w:t>
      </w:r>
      <w:r>
        <w:rPr>
          <w:lang w:val="it-IT"/>
        </w:rPr>
        <w:t xml:space="preserve"> </w:t>
      </w:r>
    </w:p>
    <w:p w:rsidR="00073AD6" w:rsidRPr="007031BD" w:rsidRDefault="007031BD" w:rsidP="007031BD">
      <w:pPr>
        <w:pStyle w:val="NormalWeb"/>
        <w:shd w:val="clear" w:color="auto" w:fill="FFFFFF"/>
        <w:spacing w:before="0" w:beforeAutospacing="0" w:after="120" w:afterAutospacing="0"/>
        <w:ind w:firstLine="720"/>
        <w:jc w:val="both"/>
        <w:rPr>
          <w:sz w:val="28"/>
          <w:szCs w:val="28"/>
          <w:lang w:val="it-IT"/>
        </w:rPr>
      </w:pPr>
      <w:r>
        <w:rPr>
          <w:sz w:val="28"/>
          <w:szCs w:val="28"/>
          <w:lang w:val="it-IT"/>
        </w:rPr>
        <w:t>Theo quy định tại k</w:t>
      </w:r>
      <w:r w:rsidRPr="001A45C7">
        <w:rPr>
          <w:sz w:val="28"/>
          <w:szCs w:val="28"/>
          <w:lang w:val="it-IT"/>
        </w:rPr>
        <w:t xml:space="preserve">hoản 2 Điều 8 Luật Ban hành văn bản quy phạm pháp luật năm 2025 </w:t>
      </w:r>
      <w:r>
        <w:rPr>
          <w:sz w:val="28"/>
          <w:szCs w:val="28"/>
          <w:lang w:val="it-IT"/>
        </w:rPr>
        <w:t>(theo đó</w:t>
      </w:r>
      <w:r w:rsidRPr="001A45C7">
        <w:rPr>
          <w:sz w:val="28"/>
          <w:szCs w:val="28"/>
          <w:lang w:val="it-IT"/>
        </w:rPr>
        <w:t xml:space="preserve">: </w:t>
      </w:r>
      <w:r w:rsidRPr="001A45C7">
        <w:rPr>
          <w:i/>
          <w:sz w:val="28"/>
          <w:szCs w:val="28"/>
          <w:lang w:val="it-IT"/>
        </w:rPr>
        <w:t>“Văn bản quy phạm pháp luật bị bãi bỏ bằng văn bản của chính cơ quan, người có thẩm quyền đã ban hành văn bản đó</w:t>
      </w:r>
      <w:r>
        <w:rPr>
          <w:i/>
          <w:sz w:val="28"/>
          <w:szCs w:val="28"/>
          <w:lang w:val="it-IT"/>
        </w:rPr>
        <w:t>...”</w:t>
      </w:r>
      <w:r>
        <w:rPr>
          <w:sz w:val="28"/>
          <w:szCs w:val="28"/>
          <w:lang w:val="it-IT"/>
        </w:rPr>
        <w:t>)</w:t>
      </w:r>
      <w:r>
        <w:rPr>
          <w:i/>
          <w:sz w:val="28"/>
          <w:szCs w:val="28"/>
          <w:lang w:val="it-IT"/>
        </w:rPr>
        <w:t xml:space="preserve">, </w:t>
      </w:r>
      <w:r w:rsidRPr="001A45C7">
        <w:rPr>
          <w:sz w:val="28"/>
          <w:szCs w:val="28"/>
          <w:lang w:val="it-IT"/>
        </w:rPr>
        <w:t>cần ban hành Quyết định của Thủ tướng Chính phủ để bãi bỏ Quyết định số 49/2017/QĐ-TTg</w:t>
      </w:r>
      <w:r>
        <w:rPr>
          <w:sz w:val="28"/>
          <w:szCs w:val="28"/>
          <w:lang w:val="it-IT"/>
        </w:rPr>
        <w:t xml:space="preserve"> và </w:t>
      </w:r>
      <w:r w:rsidRPr="00D63AC4">
        <w:rPr>
          <w:sz w:val="28"/>
          <w:szCs w:val="28"/>
          <w:lang w:val="it-IT"/>
        </w:rPr>
        <w:t>Quyết định số 84/2010/QĐ-TTg</w:t>
      </w:r>
      <w:r w:rsidRPr="001A45C7">
        <w:rPr>
          <w:sz w:val="28"/>
          <w:szCs w:val="28"/>
          <w:lang w:val="it-IT"/>
        </w:rPr>
        <w:t>.</w:t>
      </w:r>
    </w:p>
    <w:sectPr w:rsidR="00073AD6" w:rsidRPr="007031BD" w:rsidSect="00ED17B1">
      <w:headerReference w:type="default" r:id="rId6"/>
      <w:pgSz w:w="11907" w:h="16840" w:code="9"/>
      <w:pgMar w:top="1021" w:right="1021" w:bottom="1021"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C8F" w:rsidRDefault="00A56C8F" w:rsidP="007E7F82">
      <w:r>
        <w:separator/>
      </w:r>
    </w:p>
  </w:endnote>
  <w:endnote w:type="continuationSeparator" w:id="0">
    <w:p w:rsidR="00A56C8F" w:rsidRDefault="00A56C8F" w:rsidP="007E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C8F" w:rsidRDefault="00A56C8F" w:rsidP="007E7F82">
      <w:r>
        <w:separator/>
      </w:r>
    </w:p>
  </w:footnote>
  <w:footnote w:type="continuationSeparator" w:id="0">
    <w:p w:rsidR="00A56C8F" w:rsidRDefault="00A56C8F" w:rsidP="007E7F82">
      <w:r>
        <w:continuationSeparator/>
      </w:r>
    </w:p>
  </w:footnote>
  <w:footnote w:id="1">
    <w:p w:rsidR="007E7F82" w:rsidRPr="00667EB3" w:rsidRDefault="007E7F82" w:rsidP="007E7F82">
      <w:pPr>
        <w:pStyle w:val="BodyText"/>
        <w:tabs>
          <w:tab w:val="left" w:pos="2472"/>
        </w:tabs>
        <w:spacing w:after="60"/>
        <w:ind w:firstLine="720"/>
        <w:jc w:val="both"/>
        <w:rPr>
          <w:sz w:val="20"/>
          <w:szCs w:val="20"/>
          <w:lang w:val="it-IT"/>
        </w:rPr>
      </w:pPr>
      <w:r w:rsidRPr="00667EB3">
        <w:rPr>
          <w:rStyle w:val="FootnoteReference"/>
          <w:sz w:val="20"/>
          <w:szCs w:val="20"/>
        </w:rPr>
        <w:footnoteRef/>
      </w:r>
      <w:r w:rsidRPr="00667EB3">
        <w:rPr>
          <w:sz w:val="20"/>
          <w:szCs w:val="20"/>
        </w:rPr>
        <w:t xml:space="preserve"> </w:t>
      </w:r>
      <w:r w:rsidRPr="00667EB3">
        <w:rPr>
          <w:sz w:val="20"/>
          <w:szCs w:val="20"/>
          <w:lang w:val="it-IT"/>
        </w:rPr>
        <w:t>Quyết định số 1295/QĐ-BCT ngày 17</w:t>
      </w:r>
      <w:r>
        <w:rPr>
          <w:sz w:val="20"/>
          <w:szCs w:val="20"/>
          <w:lang w:val="it-IT"/>
        </w:rPr>
        <w:t>/</w:t>
      </w:r>
      <w:r w:rsidRPr="00667EB3">
        <w:rPr>
          <w:sz w:val="20"/>
          <w:szCs w:val="20"/>
          <w:lang w:val="it-IT"/>
        </w:rPr>
        <w:t>5</w:t>
      </w:r>
      <w:r>
        <w:rPr>
          <w:sz w:val="20"/>
          <w:szCs w:val="20"/>
          <w:lang w:val="it-IT"/>
        </w:rPr>
        <w:t>/</w:t>
      </w:r>
      <w:r w:rsidRPr="00667EB3">
        <w:rPr>
          <w:sz w:val="20"/>
          <w:szCs w:val="20"/>
          <w:lang w:val="it-IT"/>
        </w:rPr>
        <w:t xml:space="preserve">2019 của Bộ trưởng Bộ Công Thương phê duyệt Kế hoạch thu dọn công trình khí khu vực bể Cửu Long - Phần tài sản chung giữa </w:t>
      </w:r>
      <w:r>
        <w:rPr>
          <w:sz w:val="20"/>
          <w:szCs w:val="20"/>
          <w:lang w:val="it-IT"/>
        </w:rPr>
        <w:t xml:space="preserve">PVGas </w:t>
      </w:r>
      <w:r w:rsidRPr="00667EB3">
        <w:rPr>
          <w:sz w:val="20"/>
          <w:szCs w:val="20"/>
          <w:lang w:val="it-IT"/>
        </w:rPr>
        <w:t>và Liên doanh Việt - Nga Vietsovpetro (Vietsovpetro) và Kế hoạch thu dọn công trình khí khu vực bể Cửu Long và PM3-Cà Mau của PVGas; Quyết định số 2437/QĐ-BCT ngày 16</w:t>
      </w:r>
      <w:r>
        <w:rPr>
          <w:sz w:val="20"/>
          <w:szCs w:val="20"/>
          <w:lang w:val="it-IT"/>
        </w:rPr>
        <w:t>/</w:t>
      </w:r>
      <w:r w:rsidRPr="00667EB3">
        <w:rPr>
          <w:sz w:val="20"/>
          <w:szCs w:val="20"/>
          <w:lang w:val="it-IT"/>
        </w:rPr>
        <w:t>9</w:t>
      </w:r>
      <w:r>
        <w:rPr>
          <w:sz w:val="20"/>
          <w:szCs w:val="20"/>
          <w:lang w:val="it-IT"/>
        </w:rPr>
        <w:t>/</w:t>
      </w:r>
      <w:r w:rsidRPr="00667EB3">
        <w:rPr>
          <w:sz w:val="20"/>
          <w:szCs w:val="20"/>
          <w:lang w:val="it-IT"/>
        </w:rPr>
        <w:t>2020 của Bộ trưởng Bộ Công Thương duyệt Kế hoạch thu dọn nhà máy chế biến, đường ống vận chuyển và các trạm phân phối khí của PVGas; Quyết định số 610/QĐ-BCT ngày 10</w:t>
      </w:r>
      <w:r>
        <w:rPr>
          <w:sz w:val="20"/>
          <w:szCs w:val="20"/>
          <w:lang w:val="it-IT"/>
        </w:rPr>
        <w:t>/</w:t>
      </w:r>
      <w:r w:rsidRPr="00667EB3">
        <w:rPr>
          <w:sz w:val="20"/>
          <w:szCs w:val="20"/>
          <w:lang w:val="it-IT"/>
        </w:rPr>
        <w:t>3</w:t>
      </w:r>
      <w:r>
        <w:rPr>
          <w:sz w:val="20"/>
          <w:szCs w:val="20"/>
          <w:lang w:val="it-IT"/>
        </w:rPr>
        <w:t>/</w:t>
      </w:r>
      <w:r w:rsidRPr="00667EB3">
        <w:rPr>
          <w:sz w:val="20"/>
          <w:szCs w:val="20"/>
          <w:lang w:val="it-IT"/>
        </w:rPr>
        <w:t>2023 của Bộ trưởng Bộ Công Thương phê duyệt Kế hoạch thu dọn công trình Đường ống dẫn khí Nam Côn Sơn 2 điều chỉnh (giai đoạn 2) và Đường ống thu gom, vận chuyển khí mỏ Sao Vàng - Đại Nguyệt của PVGas.</w:t>
      </w:r>
    </w:p>
  </w:footnote>
  <w:footnote w:id="2">
    <w:p w:rsidR="007E7F82" w:rsidRPr="001F46B4" w:rsidRDefault="007E7F82" w:rsidP="007E7F82">
      <w:pPr>
        <w:pStyle w:val="FootnoteText"/>
        <w:spacing w:after="60"/>
        <w:ind w:firstLine="709"/>
        <w:rPr>
          <w:lang w:val="it-IT"/>
        </w:rPr>
      </w:pPr>
      <w:r>
        <w:rPr>
          <w:rStyle w:val="FootnoteReference"/>
        </w:rPr>
        <w:footnoteRef/>
      </w:r>
      <w:r w:rsidRPr="001F46B4">
        <w:rPr>
          <w:lang w:val="it-IT"/>
        </w:rPr>
        <w:t xml:space="preserve"> Các Điều 50, 51, 52 Luật Dầu khí năm 2022. </w:t>
      </w:r>
    </w:p>
  </w:footnote>
  <w:footnote w:id="3">
    <w:p w:rsidR="007E7F82" w:rsidRPr="001F46B4" w:rsidRDefault="007E7F82" w:rsidP="007E7F82">
      <w:pPr>
        <w:pStyle w:val="FootnoteText"/>
        <w:spacing w:after="60"/>
        <w:ind w:firstLine="709"/>
        <w:rPr>
          <w:lang w:val="it-IT"/>
        </w:rPr>
      </w:pPr>
      <w:r>
        <w:rPr>
          <w:rStyle w:val="FootnoteReference"/>
        </w:rPr>
        <w:footnoteRef/>
      </w:r>
      <w:r w:rsidRPr="001F46B4">
        <w:rPr>
          <w:lang w:val="it-IT"/>
        </w:rPr>
        <w:t xml:space="preserve"> Các Điều 51, 52, 53, 54, 55 </w:t>
      </w:r>
      <w:r w:rsidRPr="0098349C">
        <w:rPr>
          <w:lang w:val="vi-VN"/>
        </w:rPr>
        <w:t xml:space="preserve">Nghị định </w:t>
      </w:r>
      <w:r w:rsidRPr="001F46B4">
        <w:rPr>
          <w:lang w:val="it-IT"/>
        </w:rPr>
        <w:t>số 45/2023/NĐ-CP.</w:t>
      </w:r>
    </w:p>
  </w:footnote>
  <w:footnote w:id="4">
    <w:p w:rsidR="007E7F82" w:rsidRPr="001F46B4" w:rsidRDefault="007E7F82" w:rsidP="007E7F82">
      <w:pPr>
        <w:pStyle w:val="FootnoteText"/>
        <w:spacing w:after="60"/>
        <w:ind w:firstLine="709"/>
        <w:rPr>
          <w:lang w:val="it-IT"/>
        </w:rPr>
      </w:pPr>
      <w:r>
        <w:rPr>
          <w:rStyle w:val="FootnoteReference"/>
        </w:rPr>
        <w:footnoteRef/>
      </w:r>
      <w:r w:rsidRPr="001F46B4">
        <w:rPr>
          <w:lang w:val="it-IT"/>
        </w:rPr>
        <w:t xml:space="preserve"> Các Điều 20, 21, 22, 23, 24, 25, 26 Thông tư số 16/2024/TT-BCT.</w:t>
      </w:r>
    </w:p>
  </w:footnote>
  <w:footnote w:id="5">
    <w:p w:rsidR="007E7F82" w:rsidRPr="00FD7FC2" w:rsidRDefault="007E7F82" w:rsidP="007E7F82">
      <w:pPr>
        <w:pStyle w:val="ListParagraph"/>
        <w:tabs>
          <w:tab w:val="clear" w:pos="340"/>
          <w:tab w:val="left" w:pos="993"/>
          <w:tab w:val="left" w:pos="1134"/>
        </w:tabs>
        <w:spacing w:after="60"/>
        <w:ind w:left="709"/>
        <w:contextualSpacing w:val="0"/>
        <w:rPr>
          <w:rFonts w:ascii="Times New Roman" w:hAnsi="Times New Roman"/>
          <w:sz w:val="20"/>
          <w:szCs w:val="20"/>
          <w:lang w:val="it-IT"/>
        </w:rPr>
      </w:pPr>
      <w:r w:rsidRPr="00F5755F">
        <w:rPr>
          <w:rStyle w:val="FootnoteReference"/>
          <w:rFonts w:ascii="Times New Roman" w:hAnsi="Times New Roman"/>
          <w:sz w:val="20"/>
          <w:szCs w:val="20"/>
        </w:rPr>
        <w:footnoteRef/>
      </w:r>
      <w:r w:rsidRPr="00F5755F">
        <w:rPr>
          <w:rFonts w:ascii="Times New Roman" w:hAnsi="Times New Roman"/>
          <w:sz w:val="20"/>
          <w:szCs w:val="20"/>
        </w:rPr>
        <w:t xml:space="preserve"> </w:t>
      </w:r>
      <w:r w:rsidRPr="00FD7FC2">
        <w:rPr>
          <w:rFonts w:ascii="Times New Roman" w:hAnsi="Times New Roman"/>
          <w:sz w:val="20"/>
          <w:szCs w:val="20"/>
          <w:lang w:val="it-IT"/>
        </w:rPr>
        <w:t>Khoản 3 và khoản 7 Điều 3 Luật Dầu khí năm 2022 quy định:</w:t>
      </w:r>
    </w:p>
    <w:p w:rsidR="007E7F82" w:rsidRPr="00F5755F" w:rsidRDefault="007E7F82" w:rsidP="007E7F82">
      <w:pPr>
        <w:pStyle w:val="ListParagraph"/>
        <w:tabs>
          <w:tab w:val="clear" w:pos="340"/>
          <w:tab w:val="left" w:pos="993"/>
          <w:tab w:val="left" w:pos="1134"/>
        </w:tabs>
        <w:spacing w:after="60"/>
        <w:ind w:left="0" w:firstLine="709"/>
        <w:contextualSpacing w:val="0"/>
        <w:rPr>
          <w:rFonts w:ascii="Times New Roman" w:eastAsia="Arial" w:hAnsi="Times New Roman"/>
          <w:i/>
          <w:sz w:val="20"/>
          <w:szCs w:val="20"/>
          <w:lang w:val="it-IT"/>
        </w:rPr>
      </w:pPr>
      <w:r w:rsidRPr="00FD7FC2">
        <w:rPr>
          <w:rFonts w:ascii="Times New Roman" w:hAnsi="Times New Roman"/>
          <w:i/>
          <w:sz w:val="20"/>
          <w:szCs w:val="20"/>
          <w:lang w:val="it-IT"/>
        </w:rPr>
        <w:t xml:space="preserve">“3. </w:t>
      </w:r>
      <w:r w:rsidRPr="00F5755F">
        <w:rPr>
          <w:rFonts w:ascii="Times New Roman" w:eastAsia="Arial" w:hAnsi="Times New Roman"/>
          <w:i/>
          <w:sz w:val="20"/>
          <w:szCs w:val="20"/>
          <w:u w:val="single"/>
          <w:lang w:val="it-IT"/>
        </w:rPr>
        <w:t>Hoạt động dầu khí</w:t>
      </w:r>
      <w:r w:rsidRPr="00F5755F">
        <w:rPr>
          <w:rFonts w:ascii="Times New Roman" w:eastAsia="Arial" w:hAnsi="Times New Roman"/>
          <w:i/>
          <w:sz w:val="20"/>
          <w:szCs w:val="20"/>
          <w:lang w:val="it-IT"/>
        </w:rPr>
        <w:t xml:space="preserve"> bao gồm hoạt động tìm kiếm thăm dò dầu khí, phát triển mỏ dầu khí, khai thác dầu khí, thu dọn công trình dầu khí.</w:t>
      </w:r>
    </w:p>
    <w:p w:rsidR="007E7F82" w:rsidRPr="00F5755F" w:rsidRDefault="007E7F82" w:rsidP="007E7F82">
      <w:pPr>
        <w:pStyle w:val="ListParagraph"/>
        <w:tabs>
          <w:tab w:val="clear" w:pos="340"/>
        </w:tabs>
        <w:spacing w:after="60"/>
        <w:ind w:left="0" w:firstLine="709"/>
        <w:contextualSpacing w:val="0"/>
        <w:rPr>
          <w:rFonts w:ascii="Times New Roman" w:eastAsia="Arial" w:hAnsi="Times New Roman"/>
          <w:i/>
          <w:iCs/>
          <w:spacing w:val="-4"/>
          <w:sz w:val="20"/>
          <w:szCs w:val="20"/>
        </w:rPr>
      </w:pPr>
      <w:r w:rsidRPr="00FD7FC2">
        <w:rPr>
          <w:rFonts w:ascii="Times New Roman" w:eastAsia="Arial" w:hAnsi="Times New Roman"/>
          <w:i/>
          <w:iCs/>
          <w:spacing w:val="-4"/>
          <w:sz w:val="20"/>
          <w:szCs w:val="20"/>
          <w:lang w:val="it-IT"/>
        </w:rPr>
        <w:t xml:space="preserve">7. </w:t>
      </w:r>
      <w:r w:rsidRPr="00F5755F">
        <w:rPr>
          <w:rFonts w:ascii="Times New Roman" w:eastAsia="Arial" w:hAnsi="Times New Roman"/>
          <w:i/>
          <w:iCs/>
          <w:spacing w:val="-4"/>
          <w:sz w:val="20"/>
          <w:szCs w:val="20"/>
          <w:u w:val="single"/>
        </w:rPr>
        <w:t>Công trình dầu khí</w:t>
      </w:r>
      <w:r w:rsidRPr="00F5755F">
        <w:rPr>
          <w:rFonts w:ascii="Times New Roman" w:eastAsia="Arial" w:hAnsi="Times New Roman"/>
          <w:i/>
          <w:iCs/>
          <w:spacing w:val="-4"/>
          <w:sz w:val="20"/>
          <w:szCs w:val="20"/>
        </w:rPr>
        <w:t xml:space="preserve"> </w:t>
      </w:r>
      <w:r w:rsidRPr="00FD7FC2">
        <w:rPr>
          <w:rFonts w:ascii="Times New Roman" w:eastAsia="Arial" w:hAnsi="Times New Roman"/>
          <w:i/>
          <w:iCs/>
          <w:spacing w:val="-4"/>
          <w:sz w:val="20"/>
          <w:szCs w:val="20"/>
          <w:lang w:val="it-IT"/>
        </w:rPr>
        <w:t xml:space="preserve">bao </w:t>
      </w:r>
      <w:r w:rsidRPr="00F5755F">
        <w:rPr>
          <w:rFonts w:ascii="Times New Roman" w:eastAsia="Arial" w:hAnsi="Times New Roman"/>
          <w:i/>
          <w:iCs/>
          <w:spacing w:val="-4"/>
          <w:sz w:val="20"/>
          <w:szCs w:val="20"/>
        </w:rPr>
        <w:t>gồm giàn khoan, giàn khai thác, giàn phụ trợ, kho chứa, kho chứa nổi, hệ thống đường ống, phao neo, giếng và tổ hợp các phương tiện, máy móc, thiết bị có liên quan, các kết cấu công trình được chế tạo, xây dựng, chôn ngầm và lắp đặt cố định hoặc tạm thời để phục vụ cho hoạt động dầu khí</w:t>
      </w:r>
      <w:r w:rsidRPr="00FD7FC2">
        <w:rPr>
          <w:rFonts w:ascii="Times New Roman" w:eastAsia="Arial" w:hAnsi="Times New Roman"/>
          <w:i/>
          <w:iCs/>
          <w:spacing w:val="-4"/>
          <w:sz w:val="20"/>
          <w:szCs w:val="20"/>
          <w:lang w:val="it-IT"/>
        </w:rPr>
        <w:t>”</w:t>
      </w:r>
      <w:r w:rsidRPr="00F5755F">
        <w:rPr>
          <w:rFonts w:ascii="Times New Roman" w:eastAsia="Arial" w:hAnsi="Times New Roman"/>
          <w:i/>
          <w:iCs/>
          <w:spacing w:val="-4"/>
          <w:sz w:val="20"/>
          <w:szCs w:val="20"/>
        </w:rPr>
        <w:t>.</w:t>
      </w:r>
    </w:p>
    <w:p w:rsidR="007E7F82" w:rsidRPr="00FD7FC2" w:rsidRDefault="007E7F82" w:rsidP="007E7F82">
      <w:pPr>
        <w:pStyle w:val="FootnoteText"/>
        <w:rPr>
          <w:lang w:val="it-IT"/>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264878"/>
      <w:docPartObj>
        <w:docPartGallery w:val="Page Numbers (Top of Page)"/>
        <w:docPartUnique/>
      </w:docPartObj>
    </w:sdtPr>
    <w:sdtEndPr>
      <w:rPr>
        <w:noProof/>
        <w:sz w:val="24"/>
        <w:szCs w:val="24"/>
      </w:rPr>
    </w:sdtEndPr>
    <w:sdtContent>
      <w:p w:rsidR="00783FD8" w:rsidRPr="00ED17B1" w:rsidRDefault="00783FD8" w:rsidP="00ED17B1">
        <w:pPr>
          <w:pStyle w:val="Header"/>
          <w:jc w:val="center"/>
          <w:rPr>
            <w:sz w:val="24"/>
            <w:szCs w:val="24"/>
          </w:rPr>
        </w:pPr>
        <w:r w:rsidRPr="0012524B">
          <w:rPr>
            <w:sz w:val="24"/>
            <w:szCs w:val="24"/>
          </w:rPr>
          <w:fldChar w:fldCharType="begin"/>
        </w:r>
        <w:r w:rsidRPr="0012524B">
          <w:rPr>
            <w:sz w:val="24"/>
            <w:szCs w:val="24"/>
          </w:rPr>
          <w:instrText xml:space="preserve"> PAGE   \* MERGEFORMAT </w:instrText>
        </w:r>
        <w:r w:rsidRPr="0012524B">
          <w:rPr>
            <w:sz w:val="24"/>
            <w:szCs w:val="24"/>
          </w:rPr>
          <w:fldChar w:fldCharType="separate"/>
        </w:r>
        <w:r w:rsidR="000D04EE">
          <w:rPr>
            <w:noProof/>
            <w:sz w:val="24"/>
            <w:szCs w:val="24"/>
          </w:rPr>
          <w:t>5</w:t>
        </w:r>
        <w:r w:rsidRPr="0012524B">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82"/>
    <w:rsid w:val="00015C17"/>
    <w:rsid w:val="00073AD6"/>
    <w:rsid w:val="000D04EE"/>
    <w:rsid w:val="0010776B"/>
    <w:rsid w:val="0012524B"/>
    <w:rsid w:val="00141744"/>
    <w:rsid w:val="001569B8"/>
    <w:rsid w:val="00295D0E"/>
    <w:rsid w:val="0033215A"/>
    <w:rsid w:val="005761AA"/>
    <w:rsid w:val="0059238D"/>
    <w:rsid w:val="006220F3"/>
    <w:rsid w:val="007031BD"/>
    <w:rsid w:val="00783FD8"/>
    <w:rsid w:val="007E7F82"/>
    <w:rsid w:val="00957ACF"/>
    <w:rsid w:val="00A56C8F"/>
    <w:rsid w:val="00A92D94"/>
    <w:rsid w:val="00C12182"/>
    <w:rsid w:val="00C87616"/>
    <w:rsid w:val="00D77822"/>
    <w:rsid w:val="00ED17B1"/>
    <w:rsid w:val="00F86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801D7B36-C60B-443F-AEC6-77EA4F26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F82"/>
    <w:pPr>
      <w:ind w:firstLine="0"/>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7E7F82"/>
    <w:rPr>
      <w:sz w:val="20"/>
      <w:szCs w:val="20"/>
    </w:rPr>
  </w:style>
  <w:style w:type="character" w:customStyle="1" w:styleId="FootnoteTextChar">
    <w:name w:val="Footnote Text Char"/>
    <w:basedOn w:val="DefaultParagraphFont"/>
    <w:link w:val="FootnoteText"/>
    <w:semiHidden/>
    <w:rsid w:val="007E7F82"/>
    <w:rPr>
      <w:rFonts w:eastAsia="Times New Roman"/>
      <w:sz w:val="20"/>
      <w:szCs w:val="20"/>
    </w:rPr>
  </w:style>
  <w:style w:type="character" w:styleId="FootnoteReference">
    <w:name w:val="footnote reference"/>
    <w:semiHidden/>
    <w:rsid w:val="007E7F82"/>
    <w:rPr>
      <w:vertAlign w:val="superscript"/>
    </w:rPr>
  </w:style>
  <w:style w:type="paragraph" w:styleId="NormalWeb">
    <w:name w:val="Normal (Web)"/>
    <w:basedOn w:val="Normal"/>
    <w:uiPriority w:val="99"/>
    <w:rsid w:val="007E7F82"/>
    <w:pPr>
      <w:spacing w:before="100" w:beforeAutospacing="1" w:after="100" w:afterAutospacing="1"/>
    </w:pPr>
    <w:rPr>
      <w:sz w:val="24"/>
      <w:szCs w:val="24"/>
    </w:rPr>
  </w:style>
  <w:style w:type="paragraph" w:styleId="BodyText">
    <w:name w:val="Body Text"/>
    <w:basedOn w:val="Normal"/>
    <w:link w:val="BodyTextChar"/>
    <w:rsid w:val="007E7F82"/>
    <w:pPr>
      <w:spacing w:after="120"/>
    </w:pPr>
  </w:style>
  <w:style w:type="character" w:customStyle="1" w:styleId="BodyTextChar">
    <w:name w:val="Body Text Char"/>
    <w:basedOn w:val="DefaultParagraphFont"/>
    <w:link w:val="BodyText"/>
    <w:rsid w:val="007E7F82"/>
    <w:rPr>
      <w:rFonts w:eastAsia="Times New Roman"/>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1"/>
    <w:qFormat/>
    <w:rsid w:val="007E7F82"/>
    <w:pPr>
      <w:tabs>
        <w:tab w:val="left" w:pos="340"/>
      </w:tabs>
      <w:ind w:left="720"/>
      <w:contextualSpacing/>
      <w:jc w:val="both"/>
    </w:pPr>
    <w:rPr>
      <w:rFonts w:ascii=".VnTime" w:hAnsi=".VnTime"/>
      <w:noProof/>
      <w:szCs w:val="24"/>
      <w:lang w:val="x-none" w:eastAsia="x-none"/>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7E7F82"/>
    <w:rPr>
      <w:rFonts w:ascii=".VnTime" w:eastAsia="Times New Roman" w:hAnsi=".VnTime"/>
      <w:noProof/>
      <w:szCs w:val="24"/>
      <w:lang w:val="x-none" w:eastAsia="x-none"/>
    </w:rPr>
  </w:style>
  <w:style w:type="paragraph" w:styleId="Header">
    <w:name w:val="header"/>
    <w:basedOn w:val="Normal"/>
    <w:link w:val="HeaderChar"/>
    <w:uiPriority w:val="99"/>
    <w:unhideWhenUsed/>
    <w:rsid w:val="00783FD8"/>
    <w:pPr>
      <w:tabs>
        <w:tab w:val="center" w:pos="4680"/>
        <w:tab w:val="right" w:pos="9360"/>
      </w:tabs>
    </w:pPr>
  </w:style>
  <w:style w:type="character" w:customStyle="1" w:styleId="HeaderChar">
    <w:name w:val="Header Char"/>
    <w:basedOn w:val="DefaultParagraphFont"/>
    <w:link w:val="Header"/>
    <w:uiPriority w:val="99"/>
    <w:rsid w:val="00783FD8"/>
    <w:rPr>
      <w:rFonts w:eastAsia="Times New Roman"/>
    </w:rPr>
  </w:style>
  <w:style w:type="paragraph" w:styleId="Footer">
    <w:name w:val="footer"/>
    <w:basedOn w:val="Normal"/>
    <w:link w:val="FooterChar"/>
    <w:unhideWhenUsed/>
    <w:rsid w:val="00783FD8"/>
    <w:pPr>
      <w:tabs>
        <w:tab w:val="center" w:pos="4680"/>
        <w:tab w:val="right" w:pos="9360"/>
      </w:tabs>
    </w:pPr>
  </w:style>
  <w:style w:type="character" w:customStyle="1" w:styleId="FooterChar">
    <w:name w:val="Footer Char"/>
    <w:basedOn w:val="DefaultParagraphFont"/>
    <w:link w:val="Footer"/>
    <w:uiPriority w:val="99"/>
    <w:rsid w:val="00783F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3032</Words>
  <Characters>10674</Characters>
  <Application>Microsoft Office Word</Application>
  <DocSecurity>0</DocSecurity>
  <Lines>1334</Lines>
  <Paragraphs>685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Son</dc:creator>
  <cp:keywords/>
  <dc:description/>
  <cp:lastModifiedBy>vienmobo vienmobo</cp:lastModifiedBy>
  <cp:revision>19</cp:revision>
  <dcterms:created xsi:type="dcterms:W3CDTF">2025-04-19T11:39:00Z</dcterms:created>
  <dcterms:modified xsi:type="dcterms:W3CDTF">2025-04-22T06:43:00Z</dcterms:modified>
</cp:coreProperties>
</file>